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Default="00A20EE4">
      <w:pPr>
        <w:pStyle w:val="ConsPlusTitle"/>
        <w:jc w:val="center"/>
      </w:pPr>
    </w:p>
    <w:tbl>
      <w:tblPr>
        <w:tblpPr w:leftFromText="180" w:rightFromText="180" w:vertAnchor="text" w:horzAnchor="margin" w:tblpXSpec="center" w:tblpY="19"/>
        <w:tblW w:w="10455" w:type="dxa"/>
        <w:tblBorders>
          <w:top w:val="single" w:sz="6" w:space="0" w:color="auto"/>
          <w:left w:val="single" w:sz="6" w:space="0" w:color="auto"/>
          <w:bottom w:val="single" w:sz="6" w:space="0" w:color="auto"/>
          <w:right w:val="single" w:sz="6" w:space="0" w:color="auto"/>
        </w:tblBorders>
        <w:tblLayout w:type="fixed"/>
        <w:tblLook w:val="04A0"/>
      </w:tblPr>
      <w:tblGrid>
        <w:gridCol w:w="4535"/>
        <w:gridCol w:w="1276"/>
        <w:gridCol w:w="4644"/>
      </w:tblGrid>
      <w:tr w:rsidR="00336BD8" w:rsidTr="00336BD8">
        <w:trPr>
          <w:trHeight w:val="1969"/>
        </w:trPr>
        <w:tc>
          <w:tcPr>
            <w:tcW w:w="4535" w:type="dxa"/>
            <w:tcBorders>
              <w:top w:val="nil"/>
              <w:left w:val="nil"/>
              <w:bottom w:val="double" w:sz="12" w:space="0" w:color="auto"/>
              <w:right w:val="nil"/>
            </w:tcBorders>
          </w:tcPr>
          <w:p w:rsidR="00336BD8" w:rsidRDefault="00336BD8" w:rsidP="00336BD8">
            <w:pPr>
              <w:pStyle w:val="a4"/>
              <w:spacing w:line="276" w:lineRule="auto"/>
              <w:jc w:val="center"/>
              <w:rPr>
                <w:sz w:val="22"/>
              </w:rPr>
            </w:pPr>
            <w:proofErr w:type="gramStart"/>
            <w:r>
              <w:rPr>
                <w:sz w:val="22"/>
              </w:rPr>
              <w:t>Баш</w:t>
            </w:r>
            <w:proofErr w:type="gramEnd"/>
            <w:r>
              <w:rPr>
                <w:sz w:val="22"/>
              </w:rPr>
              <w:t>ҡортостан Республикаһының</w:t>
            </w:r>
          </w:p>
          <w:p w:rsidR="00336BD8" w:rsidRDefault="00336BD8" w:rsidP="00336BD8">
            <w:pPr>
              <w:pStyle w:val="a4"/>
              <w:spacing w:line="276" w:lineRule="auto"/>
              <w:jc w:val="center"/>
              <w:rPr>
                <w:sz w:val="22"/>
              </w:rPr>
            </w:pPr>
            <w:r>
              <w:rPr>
                <w:sz w:val="22"/>
              </w:rPr>
              <w:t xml:space="preserve"> Хәйбулла районы </w:t>
            </w:r>
          </w:p>
          <w:p w:rsidR="00336BD8" w:rsidRDefault="00336BD8" w:rsidP="00336BD8">
            <w:pPr>
              <w:pStyle w:val="a4"/>
              <w:spacing w:line="276" w:lineRule="auto"/>
              <w:jc w:val="center"/>
              <w:rPr>
                <w:sz w:val="22"/>
              </w:rPr>
            </w:pPr>
            <w:proofErr w:type="spellStart"/>
            <w:r>
              <w:rPr>
                <w:sz w:val="22"/>
              </w:rPr>
              <w:t>муниципаль</w:t>
            </w:r>
            <w:proofErr w:type="spellEnd"/>
            <w:r>
              <w:rPr>
                <w:sz w:val="22"/>
              </w:rPr>
              <w:t xml:space="preserve"> районының</w:t>
            </w:r>
          </w:p>
          <w:p w:rsidR="00336BD8" w:rsidRDefault="00336BD8" w:rsidP="00336BD8">
            <w:pPr>
              <w:pStyle w:val="a4"/>
              <w:spacing w:line="276" w:lineRule="auto"/>
              <w:jc w:val="center"/>
              <w:rPr>
                <w:sz w:val="22"/>
              </w:rPr>
            </w:pPr>
            <w:r>
              <w:rPr>
                <w:sz w:val="22"/>
              </w:rPr>
              <w:t xml:space="preserve"> </w:t>
            </w:r>
            <w:proofErr w:type="gramStart"/>
            <w:r>
              <w:rPr>
                <w:sz w:val="22"/>
              </w:rPr>
              <w:t>Сиз</w:t>
            </w:r>
            <w:proofErr w:type="gramEnd"/>
            <w:r>
              <w:rPr>
                <w:sz w:val="22"/>
              </w:rPr>
              <w:t xml:space="preserve">әм </w:t>
            </w:r>
            <w:proofErr w:type="spellStart"/>
            <w:r>
              <w:rPr>
                <w:sz w:val="22"/>
              </w:rPr>
              <w:t>ауыл</w:t>
            </w:r>
            <w:proofErr w:type="spellEnd"/>
            <w:r>
              <w:rPr>
                <w:sz w:val="22"/>
              </w:rPr>
              <w:t xml:space="preserve"> советы</w:t>
            </w:r>
          </w:p>
          <w:p w:rsidR="00336BD8" w:rsidRDefault="00336BD8" w:rsidP="00336BD8">
            <w:pPr>
              <w:pStyle w:val="a4"/>
              <w:spacing w:line="276" w:lineRule="auto"/>
              <w:jc w:val="center"/>
              <w:rPr>
                <w:sz w:val="22"/>
              </w:rPr>
            </w:pPr>
            <w:proofErr w:type="spellStart"/>
            <w:r>
              <w:rPr>
                <w:sz w:val="22"/>
              </w:rPr>
              <w:t>ауыл</w:t>
            </w:r>
            <w:proofErr w:type="spellEnd"/>
            <w:r>
              <w:rPr>
                <w:sz w:val="22"/>
              </w:rPr>
              <w:t xml:space="preserve"> билә</w:t>
            </w:r>
            <w:proofErr w:type="gramStart"/>
            <w:r>
              <w:rPr>
                <w:sz w:val="22"/>
              </w:rPr>
              <w:t>м</w:t>
            </w:r>
            <w:proofErr w:type="gramEnd"/>
            <w:r>
              <w:rPr>
                <w:sz w:val="22"/>
              </w:rPr>
              <w:t>әһе хәкимиәте</w:t>
            </w:r>
          </w:p>
          <w:p w:rsidR="00336BD8" w:rsidRDefault="00336BD8" w:rsidP="00336BD8">
            <w:pPr>
              <w:spacing w:after="0"/>
              <w:rPr>
                <w:b/>
                <w:lang w:val="be-BY"/>
              </w:rPr>
            </w:pPr>
            <w:r>
              <w:rPr>
                <w:b/>
                <w:lang w:val="be-BY"/>
              </w:rPr>
              <w:t xml:space="preserve">               </w:t>
            </w:r>
          </w:p>
          <w:p w:rsidR="00336BD8" w:rsidRDefault="00336BD8" w:rsidP="00336BD8">
            <w:pPr>
              <w:spacing w:after="0"/>
              <w:rPr>
                <w:rFonts w:ascii="Times New Roman Bash" w:hAnsi="Times New Roman Bash"/>
                <w:sz w:val="18"/>
                <w:lang w:val="be-BY"/>
              </w:rPr>
            </w:pPr>
            <w:r>
              <w:rPr>
                <w:b/>
                <w:lang w:val="be-BY"/>
              </w:rPr>
              <w:t xml:space="preserve">                     </w:t>
            </w:r>
            <w:r>
              <w:rPr>
                <w:rFonts w:ascii="Times New Roman Bash" w:hAnsi="Times New Roman Bash"/>
                <w:sz w:val="18"/>
                <w:lang w:val="be-BY"/>
              </w:rPr>
              <w:t>М.Мортазин урамы,9А,</w:t>
            </w:r>
          </w:p>
          <w:p w:rsidR="00336BD8" w:rsidRDefault="00336BD8" w:rsidP="00336BD8">
            <w:pPr>
              <w:pStyle w:val="a4"/>
              <w:spacing w:line="276" w:lineRule="auto"/>
              <w:jc w:val="center"/>
              <w:rPr>
                <w:b w:val="0"/>
                <w:sz w:val="18"/>
                <w:szCs w:val="18"/>
              </w:rPr>
            </w:pPr>
            <w:r>
              <w:rPr>
                <w:rFonts w:ascii="Times New Roman Bash" w:hAnsi="Times New Roman Bash"/>
                <w:b w:val="0"/>
                <w:sz w:val="18"/>
                <w:szCs w:val="18"/>
                <w:lang w:val="be-BY"/>
              </w:rPr>
              <w:t>Сиз</w:t>
            </w:r>
            <w:r>
              <w:rPr>
                <w:b w:val="0"/>
                <w:sz w:val="18"/>
                <w:szCs w:val="18"/>
              </w:rPr>
              <w:t>әм</w:t>
            </w:r>
            <w:r>
              <w:rPr>
                <w:rFonts w:ascii="Times New Roman Bash" w:hAnsi="Times New Roman Bash"/>
                <w:b w:val="0"/>
                <w:sz w:val="18"/>
                <w:szCs w:val="18"/>
                <w:lang w:val="be-BY"/>
              </w:rPr>
              <w:t xml:space="preserve"> ауылы,</w:t>
            </w:r>
            <w:r>
              <w:rPr>
                <w:b w:val="0"/>
                <w:sz w:val="18"/>
                <w:szCs w:val="18"/>
              </w:rPr>
              <w:t xml:space="preserve"> Хәйбулла районы, 453806</w:t>
            </w:r>
          </w:p>
          <w:p w:rsidR="00336BD8" w:rsidRDefault="00336BD8" w:rsidP="00336BD8">
            <w:pPr>
              <w:spacing w:after="0"/>
              <w:jc w:val="center"/>
              <w:rPr>
                <w:sz w:val="18"/>
                <w:szCs w:val="28"/>
              </w:rPr>
            </w:pPr>
            <w:r>
              <w:rPr>
                <w:rFonts w:ascii="Times New Roman Bash" w:hAnsi="Times New Roman Bash"/>
                <w:sz w:val="18"/>
                <w:lang w:val="be-BY"/>
              </w:rPr>
              <w:t>Тел.(34758)2-81-37, Е-</w:t>
            </w:r>
            <w:r>
              <w:rPr>
                <w:sz w:val="18"/>
                <w:lang w:val="en-US"/>
              </w:rPr>
              <w:t>mal</w:t>
            </w:r>
            <w:r>
              <w:rPr>
                <w:sz w:val="18"/>
              </w:rPr>
              <w:t xml:space="preserve">: </w:t>
            </w:r>
            <w:hyperlink r:id="rId4" w:history="1">
              <w:r>
                <w:rPr>
                  <w:rStyle w:val="a3"/>
                  <w:sz w:val="18"/>
                  <w:lang w:val="en-US"/>
                </w:rPr>
                <w:t>celinoe</w:t>
              </w:r>
              <w:r>
                <w:rPr>
                  <w:rStyle w:val="a3"/>
                  <w:sz w:val="18"/>
                </w:rPr>
                <w:t>-</w:t>
              </w:r>
              <w:r>
                <w:rPr>
                  <w:rStyle w:val="a3"/>
                  <w:sz w:val="18"/>
                  <w:lang w:val="en-US"/>
                </w:rPr>
                <w:t>ss</w:t>
              </w:r>
              <w:r>
                <w:rPr>
                  <w:rStyle w:val="a3"/>
                  <w:sz w:val="18"/>
                </w:rPr>
                <w:t>@</w:t>
              </w:r>
              <w:r>
                <w:rPr>
                  <w:rStyle w:val="a3"/>
                  <w:sz w:val="18"/>
                  <w:lang w:val="en-US"/>
                </w:rPr>
                <w:t>mail</w:t>
              </w:r>
              <w:r>
                <w:rPr>
                  <w:rStyle w:val="a3"/>
                  <w:sz w:val="18"/>
                </w:rPr>
                <w:t>.</w:t>
              </w:r>
              <w:r>
                <w:rPr>
                  <w:rStyle w:val="a3"/>
                  <w:sz w:val="18"/>
                  <w:lang w:val="en-US"/>
                </w:rPr>
                <w:t>ru</w:t>
              </w:r>
            </w:hyperlink>
          </w:p>
          <w:p w:rsidR="00336BD8" w:rsidRDefault="00336BD8" w:rsidP="00336BD8">
            <w:pPr>
              <w:spacing w:after="0"/>
              <w:jc w:val="center"/>
              <w:rPr>
                <w:sz w:val="18"/>
              </w:rPr>
            </w:pPr>
            <w:r>
              <w:rPr>
                <w:sz w:val="18"/>
              </w:rPr>
              <w:t>ОКПО  04283673, ОГРН 1020202038670,</w:t>
            </w:r>
          </w:p>
          <w:p w:rsidR="00336BD8" w:rsidRDefault="00336BD8" w:rsidP="00336BD8">
            <w:pPr>
              <w:jc w:val="center"/>
              <w:rPr>
                <w:b/>
                <w:sz w:val="28"/>
              </w:rPr>
            </w:pPr>
            <w:r>
              <w:rPr>
                <w:sz w:val="18"/>
              </w:rPr>
              <w:t>ИНН/КПП 0248000535/024801001</w:t>
            </w:r>
          </w:p>
          <w:p w:rsidR="00336BD8" w:rsidRDefault="00336BD8" w:rsidP="00336BD8">
            <w:pPr>
              <w:jc w:val="center"/>
              <w:rPr>
                <w:rFonts w:ascii="B7BOS" w:eastAsia="Times New Roman" w:hAnsi="B7BOS" w:cs="Times New Roman"/>
                <w:sz w:val="20"/>
                <w:szCs w:val="28"/>
                <w:lang w:val="sq-AL"/>
              </w:rPr>
            </w:pPr>
          </w:p>
        </w:tc>
        <w:tc>
          <w:tcPr>
            <w:tcW w:w="1276" w:type="dxa"/>
            <w:tcBorders>
              <w:top w:val="nil"/>
              <w:left w:val="nil"/>
              <w:bottom w:val="double" w:sz="12" w:space="0" w:color="auto"/>
              <w:right w:val="nil"/>
            </w:tcBorders>
            <w:hideMark/>
          </w:tcPr>
          <w:p w:rsidR="00336BD8" w:rsidRDefault="00336BD8" w:rsidP="00336BD8">
            <w:pPr>
              <w:jc w:val="center"/>
              <w:rPr>
                <w:rFonts w:ascii="Times New Roman" w:eastAsia="Times New Roman" w:hAnsi="Times New Roman" w:cs="Times New Roman"/>
                <w:sz w:val="28"/>
                <w:szCs w:val="28"/>
                <w:lang w:val="be-BY"/>
              </w:rPr>
            </w:pPr>
            <w:r>
              <w:rPr>
                <w:noProof/>
                <w:sz w:val="20"/>
                <w:szCs w:val="20"/>
              </w:rPr>
              <w:drawing>
                <wp:inline distT="0" distB="0" distL="0" distR="0">
                  <wp:extent cx="809625" cy="1095375"/>
                  <wp:effectExtent l="19050" t="0" r="9525" b="0"/>
                  <wp:docPr id="2"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5"/>
                          <a:srcRect/>
                          <a:stretch>
                            <a:fillRect/>
                          </a:stretch>
                        </pic:blipFill>
                        <pic:spPr bwMode="auto">
                          <a:xfrm>
                            <a:off x="0" y="0"/>
                            <a:ext cx="809625" cy="1095375"/>
                          </a:xfrm>
                          <a:prstGeom prst="rect">
                            <a:avLst/>
                          </a:prstGeom>
                          <a:noFill/>
                          <a:ln w="9525">
                            <a:noFill/>
                            <a:miter lim="800000"/>
                            <a:headEnd/>
                            <a:tailEnd/>
                          </a:ln>
                        </pic:spPr>
                      </pic:pic>
                    </a:graphicData>
                  </a:graphic>
                </wp:inline>
              </w:drawing>
            </w:r>
          </w:p>
        </w:tc>
        <w:tc>
          <w:tcPr>
            <w:tcW w:w="4644" w:type="dxa"/>
            <w:tcBorders>
              <w:top w:val="nil"/>
              <w:left w:val="nil"/>
              <w:bottom w:val="double" w:sz="12" w:space="0" w:color="auto"/>
              <w:right w:val="nil"/>
            </w:tcBorders>
          </w:tcPr>
          <w:p w:rsidR="00336BD8" w:rsidRDefault="00336BD8" w:rsidP="00336BD8">
            <w:pPr>
              <w:pStyle w:val="a4"/>
              <w:spacing w:line="276" w:lineRule="auto"/>
              <w:ind w:left="119" w:firstLine="57"/>
              <w:jc w:val="center"/>
              <w:rPr>
                <w:sz w:val="22"/>
              </w:rPr>
            </w:pPr>
            <w:r>
              <w:rPr>
                <w:sz w:val="22"/>
              </w:rPr>
              <w:t>Администрация сельского поселения</w:t>
            </w:r>
          </w:p>
          <w:p w:rsidR="00336BD8" w:rsidRDefault="00336BD8" w:rsidP="00336BD8">
            <w:pPr>
              <w:pStyle w:val="a4"/>
              <w:spacing w:line="276" w:lineRule="auto"/>
              <w:ind w:left="119" w:firstLine="57"/>
              <w:jc w:val="center"/>
              <w:rPr>
                <w:sz w:val="22"/>
              </w:rPr>
            </w:pPr>
            <w:r>
              <w:rPr>
                <w:sz w:val="22"/>
              </w:rPr>
              <w:t>Целинный сельсовет</w:t>
            </w:r>
          </w:p>
          <w:p w:rsidR="00336BD8" w:rsidRDefault="00336BD8" w:rsidP="00336BD8">
            <w:pPr>
              <w:pStyle w:val="a4"/>
              <w:tabs>
                <w:tab w:val="left" w:pos="4166"/>
              </w:tabs>
              <w:spacing w:line="276" w:lineRule="auto"/>
              <w:ind w:left="233" w:firstLine="229"/>
              <w:jc w:val="center"/>
              <w:rPr>
                <w:sz w:val="22"/>
              </w:rPr>
            </w:pPr>
            <w:r>
              <w:rPr>
                <w:sz w:val="22"/>
              </w:rPr>
              <w:t>муниципального района</w:t>
            </w:r>
          </w:p>
          <w:p w:rsidR="00336BD8" w:rsidRDefault="00336BD8" w:rsidP="00336BD8">
            <w:pPr>
              <w:pStyle w:val="a4"/>
              <w:tabs>
                <w:tab w:val="left" w:pos="4166"/>
              </w:tabs>
              <w:spacing w:line="276" w:lineRule="auto"/>
              <w:ind w:left="233" w:firstLine="229"/>
              <w:jc w:val="center"/>
              <w:rPr>
                <w:sz w:val="22"/>
              </w:rPr>
            </w:pPr>
            <w:r>
              <w:rPr>
                <w:sz w:val="22"/>
              </w:rPr>
              <w:t>Хайбуллинский район</w:t>
            </w:r>
          </w:p>
          <w:p w:rsidR="00336BD8" w:rsidRDefault="00336BD8" w:rsidP="00336BD8">
            <w:pPr>
              <w:pStyle w:val="a4"/>
              <w:tabs>
                <w:tab w:val="left" w:pos="4166"/>
              </w:tabs>
              <w:spacing w:line="276" w:lineRule="auto"/>
              <w:ind w:left="233" w:firstLine="229"/>
              <w:jc w:val="center"/>
              <w:rPr>
                <w:sz w:val="22"/>
              </w:rPr>
            </w:pPr>
            <w:r>
              <w:rPr>
                <w:sz w:val="22"/>
              </w:rPr>
              <w:t>Республики Башкортостан</w:t>
            </w:r>
          </w:p>
          <w:p w:rsidR="00336BD8" w:rsidRDefault="00336BD8" w:rsidP="00336BD8">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336BD8" w:rsidRDefault="00336BD8" w:rsidP="00336BD8">
            <w:pPr>
              <w:spacing w:after="0"/>
              <w:rPr>
                <w:rFonts w:ascii="Times New Roman Bash" w:hAnsi="Times New Roman Bash"/>
                <w:sz w:val="18"/>
                <w:szCs w:val="28"/>
                <w:lang w:val="be-BY"/>
              </w:rPr>
            </w:pPr>
            <w:r>
              <w:rPr>
                <w:rFonts w:ascii="Times New Roman" w:eastAsia="Times New Roman" w:hAnsi="Times New Roman" w:cs="Times New Roman"/>
                <w:b/>
              </w:rPr>
              <w:t xml:space="preserve">              </w:t>
            </w:r>
            <w:r>
              <w:rPr>
                <w:rFonts w:ascii="Times New Roman Bash" w:hAnsi="Times New Roman Bash"/>
                <w:sz w:val="18"/>
                <w:lang w:val="be-BY"/>
              </w:rPr>
              <w:t xml:space="preserve"> ул. М.Муртазина, 9А,</w:t>
            </w:r>
          </w:p>
          <w:p w:rsidR="00336BD8" w:rsidRDefault="00336BD8" w:rsidP="00336BD8">
            <w:pPr>
              <w:spacing w:after="0"/>
              <w:jc w:val="center"/>
              <w:rPr>
                <w:rFonts w:ascii="Times New Roman Bash" w:hAnsi="Times New Roman Bash"/>
                <w:sz w:val="18"/>
                <w:lang w:val="be-BY"/>
              </w:rPr>
            </w:pPr>
            <w:r>
              <w:rPr>
                <w:rFonts w:ascii="Times New Roman Bash" w:hAnsi="Times New Roman Bash"/>
                <w:sz w:val="18"/>
                <w:lang w:val="be-BY"/>
              </w:rPr>
              <w:t>село Целинное,Хайбуллинский район,453806</w:t>
            </w:r>
          </w:p>
          <w:p w:rsidR="00336BD8" w:rsidRDefault="00336BD8" w:rsidP="00336BD8">
            <w:pPr>
              <w:spacing w:after="0"/>
              <w:jc w:val="center"/>
              <w:rPr>
                <w:rFonts w:ascii="Times New Roman" w:hAnsi="Times New Roman"/>
                <w:sz w:val="18"/>
              </w:rPr>
            </w:pPr>
            <w:r>
              <w:rPr>
                <w:rFonts w:ascii="Times New Roman Bash" w:hAnsi="Times New Roman Bash"/>
                <w:sz w:val="18"/>
                <w:lang w:val="be-BY"/>
              </w:rPr>
              <w:t>Тел. (34758)2-81-37, Е-</w:t>
            </w:r>
            <w:r>
              <w:rPr>
                <w:sz w:val="18"/>
                <w:lang w:val="en-US"/>
              </w:rPr>
              <w:t>mal</w:t>
            </w:r>
            <w:r>
              <w:rPr>
                <w:sz w:val="18"/>
              </w:rPr>
              <w:t xml:space="preserve">: </w:t>
            </w:r>
            <w:hyperlink r:id="rId6" w:history="1">
              <w:r>
                <w:rPr>
                  <w:rStyle w:val="a3"/>
                  <w:sz w:val="18"/>
                  <w:lang w:val="en-US"/>
                </w:rPr>
                <w:t>celinoe</w:t>
              </w:r>
              <w:r>
                <w:rPr>
                  <w:rStyle w:val="a3"/>
                  <w:sz w:val="18"/>
                </w:rPr>
                <w:t>-</w:t>
              </w:r>
              <w:r>
                <w:rPr>
                  <w:rStyle w:val="a3"/>
                  <w:sz w:val="18"/>
                  <w:lang w:val="en-US"/>
                </w:rPr>
                <w:t>ss</w:t>
              </w:r>
              <w:r>
                <w:rPr>
                  <w:rStyle w:val="a3"/>
                  <w:sz w:val="18"/>
                </w:rPr>
                <w:t>@</w:t>
              </w:r>
              <w:r>
                <w:rPr>
                  <w:rStyle w:val="a3"/>
                  <w:sz w:val="18"/>
                  <w:lang w:val="en-US"/>
                </w:rPr>
                <w:t>mail</w:t>
              </w:r>
              <w:r>
                <w:rPr>
                  <w:rStyle w:val="a3"/>
                  <w:sz w:val="18"/>
                </w:rPr>
                <w:t>.</w:t>
              </w:r>
              <w:r>
                <w:rPr>
                  <w:rStyle w:val="a3"/>
                  <w:sz w:val="18"/>
                  <w:lang w:val="en-US"/>
                </w:rPr>
                <w:t>ru</w:t>
              </w:r>
            </w:hyperlink>
          </w:p>
          <w:p w:rsidR="00336BD8" w:rsidRDefault="00336BD8" w:rsidP="00336BD8">
            <w:pPr>
              <w:spacing w:after="0"/>
              <w:jc w:val="center"/>
              <w:rPr>
                <w:sz w:val="18"/>
              </w:rPr>
            </w:pPr>
            <w:r>
              <w:rPr>
                <w:sz w:val="18"/>
              </w:rPr>
              <w:t>ОКПО  04283673, ОГРН 1020202038670,</w:t>
            </w:r>
          </w:p>
          <w:p w:rsidR="00336BD8" w:rsidRDefault="00336BD8" w:rsidP="00336BD8">
            <w:pPr>
              <w:jc w:val="center"/>
              <w:rPr>
                <w:b/>
                <w:sz w:val="28"/>
              </w:rPr>
            </w:pPr>
            <w:r>
              <w:rPr>
                <w:sz w:val="18"/>
              </w:rPr>
              <w:t>ИНН/КПП 0248000535/024801001</w:t>
            </w:r>
          </w:p>
          <w:p w:rsidR="00336BD8" w:rsidRDefault="00336BD8" w:rsidP="00336BD8">
            <w:pPr>
              <w:jc w:val="center"/>
              <w:rPr>
                <w:rFonts w:ascii="Times New Roman" w:eastAsia="Times New Roman" w:hAnsi="Times New Roman" w:cs="Times New Roman"/>
                <w:sz w:val="20"/>
                <w:szCs w:val="28"/>
              </w:rPr>
            </w:pPr>
          </w:p>
        </w:tc>
      </w:tr>
    </w:tbl>
    <w:p w:rsidR="00C60A07" w:rsidRPr="00336BD8" w:rsidRDefault="00C60A07" w:rsidP="00336BD8">
      <w:pPr>
        <w:pStyle w:val="ConsPlusTitle"/>
        <w:rPr>
          <w:rFonts w:ascii="Times New Roman" w:hAnsi="Times New Roman" w:cs="Times New Roman"/>
          <w:sz w:val="24"/>
          <w:szCs w:val="24"/>
        </w:rPr>
      </w:pPr>
    </w:p>
    <w:p w:rsidR="00435525" w:rsidRPr="00336BD8" w:rsidRDefault="00336BD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435525" w:rsidRPr="00336BD8" w:rsidRDefault="00435525" w:rsidP="00435525">
      <w:pPr>
        <w:pStyle w:val="ConsPlusTitle"/>
        <w:rPr>
          <w:rFonts w:ascii="Times New Roman" w:hAnsi="Times New Roman" w:cs="Times New Roman"/>
          <w:sz w:val="24"/>
          <w:szCs w:val="24"/>
        </w:rPr>
      </w:pPr>
      <w:r w:rsidRPr="00336BD8">
        <w:rPr>
          <w:rFonts w:ascii="Times New Roman" w:hAnsi="Times New Roman" w:cs="Times New Roman"/>
          <w:sz w:val="24"/>
          <w:szCs w:val="24"/>
        </w:rPr>
        <w:t xml:space="preserve">№  </w:t>
      </w:r>
      <w:r w:rsidR="00C41DDB">
        <w:rPr>
          <w:rFonts w:ascii="Times New Roman" w:hAnsi="Times New Roman" w:cs="Times New Roman"/>
          <w:sz w:val="24"/>
          <w:szCs w:val="24"/>
        </w:rPr>
        <w:t>11</w:t>
      </w:r>
      <w:r w:rsidRPr="00336BD8">
        <w:rPr>
          <w:rFonts w:ascii="Times New Roman" w:hAnsi="Times New Roman" w:cs="Times New Roman"/>
          <w:sz w:val="24"/>
          <w:szCs w:val="24"/>
        </w:rPr>
        <w:t xml:space="preserve">                                              </w:t>
      </w:r>
      <w:r w:rsidR="00336BD8" w:rsidRPr="00336BD8">
        <w:rPr>
          <w:rFonts w:ascii="Times New Roman" w:hAnsi="Times New Roman" w:cs="Times New Roman"/>
          <w:sz w:val="24"/>
          <w:szCs w:val="24"/>
        </w:rPr>
        <w:t xml:space="preserve">                      </w:t>
      </w:r>
      <w:r w:rsidR="00C41DDB">
        <w:rPr>
          <w:rFonts w:ascii="Times New Roman" w:hAnsi="Times New Roman" w:cs="Times New Roman"/>
          <w:sz w:val="24"/>
          <w:szCs w:val="24"/>
        </w:rPr>
        <w:t xml:space="preserve">                     </w:t>
      </w:r>
      <w:r w:rsidR="00336BD8" w:rsidRPr="00336BD8">
        <w:rPr>
          <w:rFonts w:ascii="Times New Roman" w:hAnsi="Times New Roman" w:cs="Times New Roman"/>
          <w:sz w:val="24"/>
          <w:szCs w:val="24"/>
        </w:rPr>
        <w:t xml:space="preserve">    </w:t>
      </w:r>
      <w:r w:rsidRPr="00336BD8">
        <w:rPr>
          <w:rFonts w:ascii="Times New Roman" w:hAnsi="Times New Roman" w:cs="Times New Roman"/>
          <w:sz w:val="24"/>
          <w:szCs w:val="24"/>
        </w:rPr>
        <w:t xml:space="preserve">   </w:t>
      </w:r>
      <w:r w:rsidR="00C60A07" w:rsidRPr="00336BD8">
        <w:rPr>
          <w:rFonts w:ascii="Times New Roman" w:hAnsi="Times New Roman" w:cs="Times New Roman"/>
          <w:sz w:val="24"/>
          <w:szCs w:val="24"/>
        </w:rPr>
        <w:t>от</w:t>
      </w:r>
      <w:r w:rsidRPr="00336BD8">
        <w:rPr>
          <w:rFonts w:ascii="Times New Roman" w:hAnsi="Times New Roman" w:cs="Times New Roman"/>
          <w:sz w:val="24"/>
          <w:szCs w:val="24"/>
        </w:rPr>
        <w:t xml:space="preserve"> </w:t>
      </w:r>
      <w:r w:rsidR="00F12D6C" w:rsidRPr="00336BD8">
        <w:rPr>
          <w:rFonts w:ascii="Times New Roman" w:hAnsi="Times New Roman" w:cs="Times New Roman"/>
          <w:sz w:val="24"/>
          <w:szCs w:val="24"/>
        </w:rPr>
        <w:t xml:space="preserve"> </w:t>
      </w:r>
      <w:r w:rsidR="00336BD8" w:rsidRPr="00336BD8">
        <w:rPr>
          <w:rFonts w:ascii="Times New Roman" w:hAnsi="Times New Roman" w:cs="Times New Roman"/>
          <w:sz w:val="24"/>
          <w:szCs w:val="24"/>
        </w:rPr>
        <w:t>1</w:t>
      </w:r>
      <w:r w:rsidR="00C41DDB">
        <w:rPr>
          <w:rFonts w:ascii="Times New Roman" w:hAnsi="Times New Roman" w:cs="Times New Roman"/>
          <w:sz w:val="24"/>
          <w:szCs w:val="24"/>
        </w:rPr>
        <w:t>9</w:t>
      </w:r>
      <w:r w:rsidR="00336BD8" w:rsidRPr="00336BD8">
        <w:rPr>
          <w:rFonts w:ascii="Times New Roman" w:hAnsi="Times New Roman" w:cs="Times New Roman"/>
          <w:sz w:val="24"/>
          <w:szCs w:val="24"/>
        </w:rPr>
        <w:t xml:space="preserve"> декабря </w:t>
      </w:r>
      <w:r w:rsidRPr="00336BD8">
        <w:rPr>
          <w:rFonts w:ascii="Times New Roman" w:hAnsi="Times New Roman" w:cs="Times New Roman"/>
          <w:sz w:val="24"/>
          <w:szCs w:val="24"/>
        </w:rPr>
        <w:t>201</w:t>
      </w:r>
      <w:r w:rsidR="00F12D6C" w:rsidRPr="00336BD8">
        <w:rPr>
          <w:rFonts w:ascii="Times New Roman" w:hAnsi="Times New Roman" w:cs="Times New Roman"/>
          <w:sz w:val="24"/>
          <w:szCs w:val="24"/>
        </w:rPr>
        <w:t>9</w:t>
      </w:r>
      <w:r w:rsidRPr="00336BD8">
        <w:rPr>
          <w:rFonts w:ascii="Times New Roman" w:hAnsi="Times New Roman" w:cs="Times New Roman"/>
          <w:sz w:val="24"/>
          <w:szCs w:val="24"/>
        </w:rPr>
        <w:t xml:space="preserve"> года</w:t>
      </w:r>
    </w:p>
    <w:p w:rsidR="00435525" w:rsidRPr="00336BD8" w:rsidRDefault="00435525" w:rsidP="00435525">
      <w:pPr>
        <w:pStyle w:val="ConsPlusTitle"/>
        <w:rPr>
          <w:rFonts w:ascii="Times New Roman" w:hAnsi="Times New Roman" w:cs="Times New Roman"/>
          <w:sz w:val="24"/>
          <w:szCs w:val="24"/>
        </w:rPr>
      </w:pPr>
    </w:p>
    <w:p w:rsidR="00A20EE4" w:rsidRPr="00336BD8" w:rsidRDefault="00A20EE4">
      <w:pPr>
        <w:pStyle w:val="ConsPlusTitle"/>
        <w:jc w:val="center"/>
        <w:rPr>
          <w:rFonts w:ascii="Times New Roman" w:hAnsi="Times New Roman" w:cs="Times New Roman"/>
          <w:sz w:val="24"/>
          <w:szCs w:val="24"/>
        </w:rPr>
      </w:pPr>
      <w:r w:rsidRPr="00336BD8">
        <w:rPr>
          <w:rFonts w:ascii="Times New Roman" w:hAnsi="Times New Roman" w:cs="Times New Roman"/>
          <w:sz w:val="24"/>
          <w:szCs w:val="24"/>
        </w:rPr>
        <w:t>ОБ УТВЕРЖДЕНИИ ПОРЯДКА ВЕДЕНИЯ УЧЕТА И ОСУЩЕСТВЛЕНИЯ</w:t>
      </w:r>
      <w:r w:rsidR="00C60A07" w:rsidRPr="00336BD8">
        <w:rPr>
          <w:rFonts w:ascii="Times New Roman" w:hAnsi="Times New Roman" w:cs="Times New Roman"/>
          <w:sz w:val="24"/>
          <w:szCs w:val="24"/>
        </w:rPr>
        <w:t xml:space="preserve"> </w:t>
      </w:r>
      <w:r w:rsidRPr="00336BD8">
        <w:rPr>
          <w:rFonts w:ascii="Times New Roman" w:hAnsi="Times New Roman" w:cs="Times New Roman"/>
          <w:sz w:val="24"/>
          <w:szCs w:val="24"/>
        </w:rPr>
        <w:t>ХРАНЕНИЯ ДОКУМЕНТОВ ПО ИСПОЛНЕНИЮ СУДЕБНЫХ АКТОВ,</w:t>
      </w:r>
    </w:p>
    <w:p w:rsidR="00A20EE4" w:rsidRPr="00336BD8" w:rsidRDefault="00A20EE4" w:rsidP="00411955">
      <w:pPr>
        <w:pStyle w:val="ConsPlusTitle"/>
        <w:jc w:val="center"/>
        <w:rPr>
          <w:rFonts w:ascii="Times New Roman" w:hAnsi="Times New Roman" w:cs="Times New Roman"/>
          <w:sz w:val="24"/>
          <w:szCs w:val="24"/>
        </w:rPr>
      </w:pPr>
      <w:proofErr w:type="gramStart"/>
      <w:r w:rsidRPr="00336BD8">
        <w:rPr>
          <w:rFonts w:ascii="Times New Roman" w:hAnsi="Times New Roman" w:cs="Times New Roman"/>
          <w:sz w:val="24"/>
          <w:szCs w:val="24"/>
        </w:rPr>
        <w:t>ПРЕДУСМАТРИВАЮЩИХ</w:t>
      </w:r>
      <w:proofErr w:type="gramEnd"/>
      <w:r w:rsidRPr="00336BD8">
        <w:rPr>
          <w:rFonts w:ascii="Times New Roman" w:hAnsi="Times New Roman" w:cs="Times New Roman"/>
          <w:sz w:val="24"/>
          <w:szCs w:val="24"/>
        </w:rPr>
        <w:t xml:space="preserve"> ОБРАЩЕНИЕ ВЗЫСКАНИЯ НА СРЕДСТВА БЮДЖЕТА</w:t>
      </w:r>
      <w:r w:rsidR="00F12D6C" w:rsidRPr="00336BD8">
        <w:rPr>
          <w:rFonts w:ascii="Times New Roman" w:hAnsi="Times New Roman" w:cs="Times New Roman"/>
          <w:sz w:val="24"/>
          <w:szCs w:val="24"/>
        </w:rPr>
        <w:t xml:space="preserve"> СЕЛЬСКОГО ПОСЕЛЕНИЯ </w:t>
      </w:r>
      <w:r w:rsidR="006C4956" w:rsidRPr="00336BD8">
        <w:rPr>
          <w:rFonts w:ascii="Times New Roman" w:hAnsi="Times New Roman" w:cs="Times New Roman"/>
          <w:sz w:val="24"/>
          <w:szCs w:val="24"/>
        </w:rPr>
        <w:t>ЦЕЛИННЫЙ</w:t>
      </w:r>
      <w:r w:rsidR="00DF7C0E" w:rsidRPr="00336BD8">
        <w:rPr>
          <w:rFonts w:ascii="Times New Roman" w:hAnsi="Times New Roman" w:cs="Times New Roman"/>
          <w:sz w:val="24"/>
          <w:szCs w:val="24"/>
        </w:rPr>
        <w:t xml:space="preserve"> </w:t>
      </w:r>
      <w:r w:rsidR="00F12D6C" w:rsidRPr="00336BD8">
        <w:rPr>
          <w:rFonts w:ascii="Times New Roman" w:hAnsi="Times New Roman" w:cs="Times New Roman"/>
          <w:sz w:val="24"/>
          <w:szCs w:val="24"/>
        </w:rPr>
        <w:t>СЕЛЬСОВЕТ</w:t>
      </w:r>
      <w:r w:rsidR="00435525" w:rsidRPr="00336BD8">
        <w:rPr>
          <w:rFonts w:ascii="Times New Roman" w:hAnsi="Times New Roman" w:cs="Times New Roman"/>
          <w:sz w:val="24"/>
          <w:szCs w:val="24"/>
        </w:rPr>
        <w:t xml:space="preserve"> МУНИЦИПАЛЬНОГО РАЙОНА ХАЙБУЛЛИНСКИЙ РАЙОН </w:t>
      </w:r>
      <w:r w:rsidRPr="00336BD8">
        <w:rPr>
          <w:rFonts w:ascii="Times New Roman" w:hAnsi="Times New Roman" w:cs="Times New Roman"/>
          <w:sz w:val="24"/>
          <w:szCs w:val="24"/>
        </w:rPr>
        <w:t>РЕСПУБЛИКИ БАШКОРТОСТАН ПО ДЕНЕЖНЫМ ОБЯЗАТЕЛЬСТВАМ</w:t>
      </w:r>
      <w:r w:rsidR="00435525" w:rsidRPr="00336BD8">
        <w:rPr>
          <w:rFonts w:ascii="Times New Roman" w:hAnsi="Times New Roman" w:cs="Times New Roman"/>
          <w:sz w:val="24"/>
          <w:szCs w:val="24"/>
        </w:rPr>
        <w:t xml:space="preserve"> </w:t>
      </w:r>
      <w:r w:rsidR="00F12D6C" w:rsidRPr="00336BD8">
        <w:rPr>
          <w:rFonts w:ascii="Times New Roman" w:hAnsi="Times New Roman" w:cs="Times New Roman"/>
          <w:sz w:val="24"/>
          <w:szCs w:val="24"/>
        </w:rPr>
        <w:t xml:space="preserve"> </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В соответствии со </w:t>
      </w:r>
      <w:hyperlink r:id="rId7"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8"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r w:rsidR="006C4956" w:rsidRPr="006C4956">
        <w:rPr>
          <w:rFonts w:ascii="Times New Roman" w:hAnsi="Times New Roman" w:cs="Times New Roman"/>
          <w:sz w:val="28"/>
          <w:szCs w:val="28"/>
        </w:rPr>
        <w:t>Целинный</w:t>
      </w:r>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Хайбуллинский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Хайбуллинский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A57E0B" w:rsidRPr="00C60A07">
        <w:rPr>
          <w:rFonts w:ascii="Times New Roman" w:hAnsi="Times New Roman" w:cs="Times New Roman"/>
          <w:sz w:val="28"/>
          <w:szCs w:val="28"/>
        </w:rPr>
        <w:t xml:space="preserve"> </w:t>
      </w:r>
      <w:proofErr w:type="gramStart"/>
      <w:r w:rsidR="00A57E0B" w:rsidRPr="00C60A07">
        <w:rPr>
          <w:rFonts w:ascii="Times New Roman" w:hAnsi="Times New Roman" w:cs="Times New Roman"/>
          <w:sz w:val="28"/>
          <w:szCs w:val="28"/>
        </w:rPr>
        <w:t>Настоящий</w:t>
      </w:r>
      <w:proofErr w:type="gramEnd"/>
      <w:r w:rsidR="00A57E0B" w:rsidRPr="00C60A07">
        <w:rPr>
          <w:rFonts w:ascii="Times New Roman" w:hAnsi="Times New Roman" w:cs="Times New Roman"/>
          <w:sz w:val="28"/>
          <w:szCs w:val="28"/>
        </w:rPr>
        <w:t xml:space="preserve"> </w:t>
      </w:r>
      <w:r w:rsidR="00F12D6C">
        <w:rPr>
          <w:rFonts w:ascii="Times New Roman" w:hAnsi="Times New Roman" w:cs="Times New Roman"/>
          <w:sz w:val="28"/>
          <w:szCs w:val="28"/>
        </w:rPr>
        <w:t>Распоряжение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sidRPr="00336BD8">
        <w:rPr>
          <w:rFonts w:ascii="Times New Roman" w:hAnsi="Times New Roman" w:cs="Times New Roman"/>
          <w:sz w:val="28"/>
          <w:szCs w:val="28"/>
        </w:rPr>
        <w:t>3</w:t>
      </w:r>
      <w:r w:rsidR="00A20EE4" w:rsidRPr="00336BD8">
        <w:rPr>
          <w:rFonts w:ascii="Times New Roman" w:hAnsi="Times New Roman" w:cs="Times New Roman"/>
          <w:sz w:val="28"/>
          <w:szCs w:val="28"/>
        </w:rPr>
        <w:t xml:space="preserve">. </w:t>
      </w:r>
      <w:proofErr w:type="gramStart"/>
      <w:r w:rsidR="00A20EE4" w:rsidRPr="00336BD8">
        <w:rPr>
          <w:rFonts w:ascii="Times New Roman" w:hAnsi="Times New Roman" w:cs="Times New Roman"/>
          <w:sz w:val="28"/>
          <w:szCs w:val="28"/>
        </w:rPr>
        <w:t>Контроль з</w:t>
      </w:r>
      <w:r w:rsidR="00757556" w:rsidRPr="00336BD8">
        <w:rPr>
          <w:rFonts w:ascii="Times New Roman" w:hAnsi="Times New Roman" w:cs="Times New Roman"/>
          <w:sz w:val="28"/>
          <w:szCs w:val="28"/>
        </w:rPr>
        <w:t>а</w:t>
      </w:r>
      <w:proofErr w:type="gramEnd"/>
      <w:r w:rsidR="00757556" w:rsidRPr="00336BD8">
        <w:rPr>
          <w:rFonts w:ascii="Times New Roman" w:hAnsi="Times New Roman" w:cs="Times New Roman"/>
          <w:sz w:val="28"/>
          <w:szCs w:val="28"/>
        </w:rPr>
        <w:t xml:space="preserve"> исполнением настоящего </w:t>
      </w:r>
      <w:r w:rsidR="00336BD8">
        <w:rPr>
          <w:rFonts w:ascii="Times New Roman" w:hAnsi="Times New Roman" w:cs="Times New Roman"/>
          <w:sz w:val="28"/>
          <w:szCs w:val="28"/>
        </w:rPr>
        <w:t>постановления</w:t>
      </w:r>
      <w:r w:rsidR="00757556" w:rsidRPr="00336BD8">
        <w:rPr>
          <w:rFonts w:ascii="Times New Roman" w:hAnsi="Times New Roman" w:cs="Times New Roman"/>
          <w:sz w:val="28"/>
          <w:szCs w:val="28"/>
        </w:rPr>
        <w:t xml:space="preserve"> </w:t>
      </w:r>
      <w:r w:rsidR="00A20EE4" w:rsidRPr="00336BD8">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0F5C32"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r w:rsidR="006C4956" w:rsidRPr="006C4956">
        <w:rPr>
          <w:rFonts w:ascii="Times New Roman" w:hAnsi="Times New Roman" w:cs="Times New Roman"/>
          <w:sz w:val="28"/>
          <w:szCs w:val="28"/>
        </w:rPr>
        <w:t>Целинный</w:t>
      </w:r>
      <w:r>
        <w:rPr>
          <w:rFonts w:ascii="Times New Roman" w:hAnsi="Times New Roman" w:cs="Times New Roman"/>
          <w:sz w:val="28"/>
          <w:szCs w:val="28"/>
        </w:rPr>
        <w:t xml:space="preserve"> сельсовет</w:t>
      </w:r>
    </w:p>
    <w:p w:rsidR="00F12D6C"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12D6C" w:rsidRPr="00C60A07"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Хайбуллинский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4956">
        <w:rPr>
          <w:rFonts w:ascii="Times New Roman" w:hAnsi="Times New Roman" w:cs="Times New Roman"/>
          <w:sz w:val="28"/>
          <w:szCs w:val="28"/>
        </w:rPr>
        <w:t>О.Ф. Попова</w:t>
      </w:r>
    </w:p>
    <w:p w:rsidR="00A20EE4" w:rsidRDefault="00A20EE4">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t>Утвержден</w:t>
      </w:r>
    </w:p>
    <w:p w:rsidR="00F12D6C" w:rsidRDefault="00336BD8"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84198F" w:rsidRPr="00A5754E">
        <w:rPr>
          <w:rFonts w:ascii="Times New Roman" w:hAnsi="Times New Roman" w:cs="Times New Roman"/>
          <w:sz w:val="28"/>
          <w:szCs w:val="28"/>
        </w:rPr>
        <w:t>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r w:rsidR="006C4956" w:rsidRPr="006C4956">
        <w:rPr>
          <w:rFonts w:ascii="Times New Roman" w:hAnsi="Times New Roman" w:cs="Times New Roman"/>
          <w:sz w:val="28"/>
          <w:szCs w:val="28"/>
        </w:rPr>
        <w:t>Целинный</w:t>
      </w:r>
      <w:r w:rsidR="00F12D6C">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Хайбуллинский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F12D6C">
        <w:rPr>
          <w:rFonts w:ascii="Times New Roman" w:hAnsi="Times New Roman" w:cs="Times New Roman"/>
          <w:sz w:val="28"/>
          <w:szCs w:val="28"/>
        </w:rPr>
        <w:t xml:space="preserve"> </w:t>
      </w:r>
      <w:r w:rsidR="00336BD8">
        <w:rPr>
          <w:rFonts w:ascii="Times New Roman" w:hAnsi="Times New Roman" w:cs="Times New Roman"/>
          <w:sz w:val="28"/>
          <w:szCs w:val="28"/>
        </w:rPr>
        <w:t>1</w:t>
      </w:r>
      <w:r w:rsidR="00C41DDB">
        <w:rPr>
          <w:rFonts w:ascii="Times New Roman" w:hAnsi="Times New Roman" w:cs="Times New Roman"/>
          <w:sz w:val="28"/>
          <w:szCs w:val="28"/>
        </w:rPr>
        <w:t>9</w:t>
      </w:r>
      <w:r w:rsidR="00336BD8">
        <w:rPr>
          <w:rFonts w:ascii="Times New Roman" w:hAnsi="Times New Roman" w:cs="Times New Roman"/>
          <w:sz w:val="28"/>
          <w:szCs w:val="28"/>
        </w:rPr>
        <w:t>.12.</w:t>
      </w:r>
      <w:r w:rsidRPr="00A5754E">
        <w:rPr>
          <w:rFonts w:ascii="Times New Roman" w:hAnsi="Times New Roman" w:cs="Times New Roman"/>
          <w:sz w:val="28"/>
          <w:szCs w:val="28"/>
        </w:rPr>
        <w:t xml:space="preserve"> 201</w:t>
      </w:r>
      <w:r w:rsidR="00F12D6C">
        <w:rPr>
          <w:rFonts w:ascii="Times New Roman" w:hAnsi="Times New Roman" w:cs="Times New Roman"/>
          <w:sz w:val="28"/>
          <w:szCs w:val="28"/>
        </w:rPr>
        <w:t>9</w:t>
      </w:r>
      <w:r w:rsidRPr="00A5754E">
        <w:rPr>
          <w:rFonts w:ascii="Times New Roman" w:hAnsi="Times New Roman" w:cs="Times New Roman"/>
          <w:sz w:val="28"/>
          <w:szCs w:val="28"/>
        </w:rPr>
        <w:t xml:space="preserve"> г. </w:t>
      </w:r>
      <w:r w:rsidR="00C41DDB">
        <w:rPr>
          <w:rFonts w:ascii="Times New Roman" w:hAnsi="Times New Roman" w:cs="Times New Roman"/>
          <w:sz w:val="28"/>
          <w:szCs w:val="28"/>
        </w:rPr>
        <w:t>№11</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6C4956">
        <w:rPr>
          <w:rFonts w:ascii="Times New Roman" w:hAnsi="Times New Roman" w:cs="Times New Roman"/>
          <w:sz w:val="26"/>
          <w:szCs w:val="26"/>
        </w:rPr>
        <w:t>ЦЕЛИННЫЙ</w:t>
      </w:r>
      <w:r w:rsidR="00AD2254">
        <w:rPr>
          <w:rFonts w:ascii="Times New Roman" w:hAnsi="Times New Roman" w:cs="Times New Roman"/>
          <w:sz w:val="26"/>
          <w:szCs w:val="26"/>
        </w:rPr>
        <w:t xml:space="preserve"> </w:t>
      </w:r>
      <w:r w:rsidR="00D91A11">
        <w:rPr>
          <w:rFonts w:ascii="Times New Roman" w:hAnsi="Times New Roman" w:cs="Times New Roman"/>
          <w:sz w:val="26"/>
          <w:szCs w:val="26"/>
        </w:rPr>
        <w:t xml:space="preserve">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F7C0E">
        <w:rPr>
          <w:rFonts w:ascii="Times New Roman" w:hAnsi="Times New Roman" w:cs="Times New Roman"/>
          <w:sz w:val="28"/>
          <w:szCs w:val="28"/>
        </w:rPr>
        <w:t xml:space="preserve"> сельского поселения </w:t>
      </w:r>
      <w:r w:rsidR="006C4956" w:rsidRPr="006C4956">
        <w:rPr>
          <w:rFonts w:ascii="Times New Roman" w:hAnsi="Times New Roman" w:cs="Times New Roman"/>
          <w:sz w:val="28"/>
          <w:szCs w:val="28"/>
        </w:rPr>
        <w:t>Целинный</w:t>
      </w:r>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Хайбуллинский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r w:rsidR="006C4956" w:rsidRPr="006C4956">
        <w:rPr>
          <w:rFonts w:ascii="Times New Roman" w:hAnsi="Times New Roman" w:cs="Times New Roman"/>
          <w:sz w:val="28"/>
          <w:szCs w:val="28"/>
        </w:rPr>
        <w:t>Целинный</w:t>
      </w:r>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10"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11"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lastRenderedPageBreak/>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2"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3"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123E8" w:rsidRPr="003123E8">
        <w:rPr>
          <w:rFonts w:ascii="Times New Roman" w:hAnsi="Times New Roman" w:cs="Times New Roman"/>
          <w:sz w:val="28"/>
          <w:szCs w:val="28"/>
        </w:rPr>
        <w:t xml:space="preserve"> сельсовет</w:t>
      </w:r>
      <w:proofErr w:type="gramStart"/>
      <w:r w:rsidR="003123E8" w:rsidRPr="003123E8">
        <w:rPr>
          <w:rFonts w:ascii="Times New Roman" w:hAnsi="Times New Roman" w:cs="Times New Roman"/>
          <w:sz w:val="28"/>
          <w:szCs w:val="28"/>
        </w:rPr>
        <w:t>.</w:t>
      </w:r>
      <w:proofErr w:type="gramEnd"/>
      <w:r w:rsidRPr="003123E8">
        <w:rPr>
          <w:rFonts w:ascii="Times New Roman" w:hAnsi="Times New Roman" w:cs="Times New Roman"/>
          <w:sz w:val="28"/>
          <w:szCs w:val="28"/>
        </w:rPr>
        <w:t xml:space="preserve"> </w:t>
      </w:r>
      <w:proofErr w:type="gramStart"/>
      <w:r w:rsidRPr="003123E8">
        <w:rPr>
          <w:rFonts w:ascii="Times New Roman" w:hAnsi="Times New Roman" w:cs="Times New Roman"/>
          <w:sz w:val="28"/>
          <w:szCs w:val="28"/>
        </w:rPr>
        <w:t>о</w:t>
      </w:r>
      <w:proofErr w:type="gramEnd"/>
      <w:r w:rsidRPr="003123E8">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4"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DF7C0E">
        <w:rPr>
          <w:rFonts w:ascii="Times New Roman" w:hAnsi="Times New Roman" w:cs="Times New Roman"/>
          <w:sz w:val="28"/>
          <w:szCs w:val="28"/>
        </w:rPr>
        <w:t xml:space="preserve"> </w:t>
      </w:r>
      <w:r w:rsidR="003123E8">
        <w:rPr>
          <w:rFonts w:ascii="Times New Roman" w:hAnsi="Times New Roman" w:cs="Times New Roman"/>
          <w:sz w:val="28"/>
          <w:szCs w:val="28"/>
        </w:rPr>
        <w:t xml:space="preserve">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DF7C0E" w:rsidRPr="00DF7C0E">
        <w:rPr>
          <w:rFonts w:ascii="Times New Roman" w:hAnsi="Times New Roman" w:cs="Times New Roman"/>
          <w:sz w:val="28"/>
          <w:szCs w:val="28"/>
        </w:rPr>
        <w:t xml:space="preserve"> </w:t>
      </w:r>
      <w:r w:rsidR="00DF7C0E">
        <w:rPr>
          <w:rFonts w:ascii="Times New Roman" w:hAnsi="Times New Roman" w:cs="Times New Roman"/>
          <w:sz w:val="28"/>
          <w:szCs w:val="28"/>
        </w:rPr>
        <w:t xml:space="preserve">сельского поселения </w:t>
      </w:r>
      <w:r w:rsidR="006C4956" w:rsidRPr="006C4956">
        <w:rPr>
          <w:rFonts w:ascii="Times New Roman" w:hAnsi="Times New Roman" w:cs="Times New Roman"/>
          <w:sz w:val="28"/>
          <w:szCs w:val="28"/>
        </w:rPr>
        <w:t>Целинный</w:t>
      </w:r>
      <w:r w:rsidR="00DF7C0E">
        <w:rPr>
          <w:rFonts w:ascii="Times New Roman" w:hAnsi="Times New Roman" w:cs="Times New Roman"/>
          <w:sz w:val="28"/>
          <w:szCs w:val="28"/>
        </w:rPr>
        <w:t xml:space="preserve"> сельсовет </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xml:space="preserve">, данный исполнительный </w:t>
      </w:r>
      <w:r w:rsidRPr="00A5754E">
        <w:rPr>
          <w:rFonts w:ascii="Times New Roman" w:hAnsi="Times New Roman" w:cs="Times New Roman"/>
          <w:sz w:val="28"/>
          <w:szCs w:val="28"/>
        </w:rPr>
        <w:lastRenderedPageBreak/>
        <w:t>документ</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w:t>
      </w:r>
      <w:proofErr w:type="gramEnd"/>
      <w:r w:rsidRPr="00A5754E">
        <w:rPr>
          <w:rFonts w:ascii="Times New Roman" w:hAnsi="Times New Roman" w:cs="Times New Roman"/>
          <w:sz w:val="28"/>
          <w:szCs w:val="28"/>
        </w:rPr>
        <w:t xml:space="preserve"> бюджета</w:t>
      </w:r>
      <w:r w:rsidR="00275058">
        <w:rPr>
          <w:rFonts w:ascii="Times New Roman" w:hAnsi="Times New Roman" w:cs="Times New Roman"/>
          <w:sz w:val="28"/>
          <w:szCs w:val="28"/>
        </w:rPr>
        <w:t xml:space="preserve"> сельского поселения </w:t>
      </w:r>
      <w:r w:rsidR="006C4956" w:rsidRPr="006C4956">
        <w:rPr>
          <w:rFonts w:ascii="Times New Roman" w:hAnsi="Times New Roman" w:cs="Times New Roman"/>
          <w:sz w:val="28"/>
          <w:szCs w:val="28"/>
        </w:rPr>
        <w:t>Целинный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5"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6"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7"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8"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9"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w:t>
      </w:r>
      <w:r w:rsidRPr="00A5754E">
        <w:rPr>
          <w:rFonts w:ascii="Times New Roman" w:hAnsi="Times New Roman" w:cs="Times New Roman"/>
          <w:sz w:val="28"/>
          <w:szCs w:val="28"/>
        </w:rPr>
        <w:lastRenderedPageBreak/>
        <w:t xml:space="preserve">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r w:rsidR="006C4956" w:rsidRPr="006C4956">
        <w:rPr>
          <w:rFonts w:ascii="Times New Roman" w:hAnsi="Times New Roman" w:cs="Times New Roman"/>
          <w:sz w:val="28"/>
          <w:szCs w:val="28"/>
        </w:rPr>
        <w:t>Целинный</w:t>
      </w:r>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При поступлении в </w:t>
      </w:r>
      <w:r w:rsidR="00B576A0">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DF7C0E">
        <w:rPr>
          <w:rFonts w:ascii="Times New Roman" w:hAnsi="Times New Roman" w:cs="Times New Roman"/>
          <w:sz w:val="28"/>
          <w:szCs w:val="28"/>
        </w:rPr>
        <w:t xml:space="preserve"> </w:t>
      </w:r>
      <w:r w:rsidR="00B576A0">
        <w:rPr>
          <w:rFonts w:ascii="Times New Roman" w:hAnsi="Times New Roman" w:cs="Times New Roman"/>
          <w:sz w:val="28"/>
          <w:szCs w:val="28"/>
        </w:rPr>
        <w:t>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w:t>
      </w:r>
      <w:proofErr w:type="gramStart"/>
      <w:r w:rsidR="00B576A0">
        <w:rPr>
          <w:rFonts w:ascii="Times New Roman" w:hAnsi="Times New Roman" w:cs="Times New Roman"/>
          <w:sz w:val="28"/>
          <w:szCs w:val="28"/>
        </w:rPr>
        <w:t>поселения</w:t>
      </w:r>
      <w:proofErr w:type="gramEnd"/>
      <w:r w:rsidR="00B576A0">
        <w:rPr>
          <w:rFonts w:ascii="Times New Roman" w:hAnsi="Times New Roman" w:cs="Times New Roman"/>
          <w:sz w:val="28"/>
          <w:szCs w:val="28"/>
        </w:rPr>
        <w:t xml:space="preserve"> </w:t>
      </w:r>
      <w:r w:rsidR="006C4956" w:rsidRPr="006C4956">
        <w:rPr>
          <w:rFonts w:ascii="Times New Roman" w:hAnsi="Times New Roman" w:cs="Times New Roman"/>
          <w:sz w:val="28"/>
          <w:szCs w:val="28"/>
        </w:rPr>
        <w:t>Целинный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6C4956">
        <w:rPr>
          <w:rFonts w:ascii="Times New Roman" w:hAnsi="Times New Roman" w:cs="Times New Roman"/>
          <w:sz w:val="28"/>
          <w:szCs w:val="28"/>
        </w:rPr>
        <w:t xml:space="preserve"> </w:t>
      </w:r>
      <w:r w:rsidR="00B576A0">
        <w:rPr>
          <w:rFonts w:ascii="Times New Roman" w:hAnsi="Times New Roman" w:cs="Times New Roman"/>
          <w:sz w:val="28"/>
          <w:szCs w:val="28"/>
        </w:rPr>
        <w:t>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сопроводительного письма, направляемого в суд, также </w:t>
      </w:r>
      <w:r w:rsidRPr="00A5754E">
        <w:rPr>
          <w:rFonts w:ascii="Times New Roman" w:hAnsi="Times New Roman" w:cs="Times New Roman"/>
          <w:sz w:val="28"/>
          <w:szCs w:val="28"/>
        </w:rPr>
        <w:lastRenderedPageBreak/>
        <w:t>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lastRenderedPageBreak/>
        <w:t xml:space="preserve">18. </w:t>
      </w:r>
      <w:r w:rsidR="0003750C">
        <w:rPr>
          <w:rFonts w:ascii="Times New Roman" w:hAnsi="Times New Roman" w:cs="Times New Roman"/>
          <w:sz w:val="28"/>
          <w:szCs w:val="28"/>
        </w:rPr>
        <w:t xml:space="preserve">Администрация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 xml:space="preserve">Администрацией сельского поселения </w:t>
      </w:r>
      <w:r w:rsidR="006C4956" w:rsidRPr="006C4956">
        <w:rPr>
          <w:rFonts w:ascii="Times New Roman" w:hAnsi="Times New Roman" w:cs="Times New Roman"/>
          <w:sz w:val="28"/>
          <w:szCs w:val="28"/>
        </w:rPr>
        <w:t>Целинный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r w:rsidR="006C4956" w:rsidRPr="006C4956">
        <w:rPr>
          <w:rFonts w:ascii="Times New Roman" w:hAnsi="Times New Roman" w:cs="Times New Roman"/>
          <w:sz w:val="28"/>
          <w:szCs w:val="28"/>
        </w:rPr>
        <w:t>Целинный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21"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xml:space="preserve">. Одновременно в </w:t>
      </w:r>
      <w:r w:rsidRPr="00A5754E">
        <w:rPr>
          <w:rFonts w:ascii="Times New Roman" w:hAnsi="Times New Roman" w:cs="Times New Roman"/>
          <w:sz w:val="28"/>
          <w:szCs w:val="28"/>
        </w:rPr>
        <w:lastRenderedPageBreak/>
        <w:t>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r w:rsidR="006C4956" w:rsidRPr="006C4956">
        <w:rPr>
          <w:rFonts w:ascii="Times New Roman" w:hAnsi="Times New Roman" w:cs="Times New Roman"/>
          <w:sz w:val="28"/>
          <w:szCs w:val="28"/>
        </w:rPr>
        <w:t>Целинный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w:t>
      </w:r>
      <w:r w:rsidRPr="00A5754E">
        <w:rPr>
          <w:rFonts w:ascii="Times New Roman" w:hAnsi="Times New Roman" w:cs="Times New Roman"/>
          <w:sz w:val="28"/>
          <w:szCs w:val="28"/>
        </w:rPr>
        <w:lastRenderedPageBreak/>
        <w:t xml:space="preserve">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2"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Хайбуллинский район </w:t>
      </w:r>
      <w:r w:rsidRPr="00A5754E">
        <w:rPr>
          <w:rFonts w:ascii="Times New Roman" w:hAnsi="Times New Roman" w:cs="Times New Roman"/>
          <w:sz w:val="28"/>
          <w:szCs w:val="28"/>
        </w:rPr>
        <w:t xml:space="preserve">Республики </w:t>
      </w:r>
      <w:r w:rsidRPr="00A5754E">
        <w:rPr>
          <w:rFonts w:ascii="Times New Roman" w:hAnsi="Times New Roman" w:cs="Times New Roman"/>
          <w:sz w:val="28"/>
          <w:szCs w:val="28"/>
        </w:rPr>
        <w:lastRenderedPageBreak/>
        <w:t xml:space="preserve">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3"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4"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5"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w:t>
      </w:r>
      <w:r w:rsidRPr="00A5754E">
        <w:rPr>
          <w:rFonts w:ascii="Times New Roman" w:hAnsi="Times New Roman" w:cs="Times New Roman"/>
          <w:sz w:val="28"/>
          <w:szCs w:val="28"/>
        </w:rPr>
        <w:lastRenderedPageBreak/>
        <w:t>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6"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7"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w:t>
      </w:r>
      <w:r w:rsidRPr="005B2FA5">
        <w:rPr>
          <w:rFonts w:ascii="Times New Roman" w:hAnsi="Times New Roman" w:cs="Times New Roman"/>
          <w:sz w:val="28"/>
          <w:szCs w:val="28"/>
        </w:rPr>
        <w:lastRenderedPageBreak/>
        <w:t>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w:t>
      </w:r>
      <w:r w:rsidRPr="005B2FA5">
        <w:rPr>
          <w:rFonts w:ascii="Times New Roman" w:hAnsi="Times New Roman" w:cs="Times New Roman"/>
          <w:sz w:val="28"/>
          <w:szCs w:val="28"/>
        </w:rPr>
        <w:lastRenderedPageBreak/>
        <w:t>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w:t>
      </w:r>
      <w:r w:rsidRPr="005B2FA5">
        <w:rPr>
          <w:rFonts w:ascii="Times New Roman" w:hAnsi="Times New Roman" w:cs="Times New Roman"/>
          <w:sz w:val="28"/>
          <w:szCs w:val="28"/>
        </w:rPr>
        <w:lastRenderedPageBreak/>
        <w:t>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9"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w:t>
      </w:r>
      <w:r w:rsidRPr="005B2FA5">
        <w:rPr>
          <w:rFonts w:ascii="Times New Roman" w:hAnsi="Times New Roman" w:cs="Times New Roman"/>
          <w:sz w:val="28"/>
          <w:szCs w:val="28"/>
        </w:rPr>
        <w:lastRenderedPageBreak/>
        <w:t xml:space="preserve">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 xml:space="preserve">Администрация сельского поселения </w:t>
      </w:r>
      <w:r w:rsidR="006C4956" w:rsidRPr="006C4956">
        <w:rPr>
          <w:rFonts w:ascii="Times New Roman" w:hAnsi="Times New Roman" w:cs="Times New Roman"/>
          <w:sz w:val="28"/>
          <w:szCs w:val="28"/>
        </w:rPr>
        <w:t>Целинный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r w:rsidR="006C4956" w:rsidRPr="006C4956">
        <w:rPr>
          <w:rFonts w:ascii="Times New Roman" w:hAnsi="Times New Roman" w:cs="Times New Roman"/>
          <w:sz w:val="28"/>
          <w:szCs w:val="28"/>
        </w:rPr>
        <w:t>Целинный</w:t>
      </w:r>
      <w:r w:rsidR="00005C16">
        <w:rPr>
          <w:rFonts w:ascii="Times New Roman" w:hAnsi="Times New Roman" w:cs="Times New Roman"/>
          <w:sz w:val="28"/>
          <w:szCs w:val="28"/>
        </w:rPr>
        <w:t xml:space="preserve"> </w:t>
      </w:r>
      <w:r w:rsidR="0056715D">
        <w:rPr>
          <w:rFonts w:ascii="Times New Roman" w:hAnsi="Times New Roman" w:cs="Times New Roman"/>
          <w:sz w:val="28"/>
          <w:szCs w:val="28"/>
        </w:rPr>
        <w:t>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r w:rsidR="006C4956" w:rsidRPr="006C4956">
        <w:rPr>
          <w:rFonts w:ascii="Times New Roman" w:hAnsi="Times New Roman" w:cs="Times New Roman"/>
          <w:sz w:val="28"/>
          <w:szCs w:val="28"/>
        </w:rPr>
        <w:t>Целинный</w:t>
      </w:r>
      <w:r w:rsidR="00DF7C0E">
        <w:rPr>
          <w:rFonts w:ascii="Times New Roman" w:hAnsi="Times New Roman" w:cs="Times New Roman"/>
          <w:sz w:val="28"/>
          <w:szCs w:val="28"/>
        </w:rPr>
        <w:t xml:space="preserve"> </w:t>
      </w:r>
      <w:r w:rsidR="0056715D">
        <w:rPr>
          <w:rFonts w:ascii="Times New Roman" w:hAnsi="Times New Roman" w:cs="Times New Roman"/>
          <w:sz w:val="28"/>
          <w:szCs w:val="28"/>
        </w:rPr>
        <w:t>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w:t>
      </w:r>
      <w:r w:rsidRPr="005B2FA5">
        <w:rPr>
          <w:rFonts w:ascii="Times New Roman" w:hAnsi="Times New Roman" w:cs="Times New Roman"/>
          <w:sz w:val="28"/>
          <w:szCs w:val="28"/>
        </w:rPr>
        <w:lastRenderedPageBreak/>
        <w:t>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30"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r w:rsidR="006C4956" w:rsidRPr="006C4956">
        <w:rPr>
          <w:rFonts w:ascii="Times New Roman" w:hAnsi="Times New Roman" w:cs="Times New Roman"/>
          <w:sz w:val="28"/>
          <w:szCs w:val="28"/>
        </w:rPr>
        <w:t>Целинный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6C4956">
      <w:pPr>
        <w:pStyle w:val="ConsPlusNormal"/>
        <w:jc w:val="right"/>
      </w:pPr>
      <w:r>
        <w:t xml:space="preserve">Целинный </w:t>
      </w:r>
      <w:r w:rsidR="0056715D">
        <w:t xml:space="preserve">сельсовет </w:t>
      </w:r>
      <w:r w:rsidR="002802F6">
        <w:t xml:space="preserve">муниципального района </w:t>
      </w:r>
    </w:p>
    <w:p w:rsidR="00A20EE4" w:rsidRDefault="002802F6">
      <w:pPr>
        <w:pStyle w:val="ConsPlusNormal"/>
        <w:jc w:val="right"/>
      </w:pPr>
      <w:r>
        <w:t xml:space="preserve">Хайбуллинский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r>
        <w:t xml:space="preserve">Хайбуллинский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r>
        <w:t>Хайбуллинский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1" w:history="1">
        <w:r>
          <w:rPr>
            <w:color w:val="0000FF"/>
          </w:rPr>
          <w:t>пунктом 3</w:t>
        </w:r>
      </w:hyperlink>
      <w:r>
        <w:t xml:space="preserve">, </w:t>
      </w:r>
      <w:hyperlink r:id="rId32"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r>
        <w:t xml:space="preserve">Хайбуллинский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r>
        <w:t xml:space="preserve">Хайбуллинский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w:t>
      </w:r>
      <w:r w:rsidR="002802F6">
        <w:t xml:space="preserve">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3"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4"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0C6456">
      <w:pPr>
        <w:pStyle w:val="ConsPlusNonformat"/>
        <w:jc w:val="both"/>
      </w:pPr>
      <w:hyperlink r:id="rId35"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6"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w:t>
      </w:r>
      <w:r w:rsidR="002802F6">
        <w:t xml:space="preserve">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7" w:history="1">
        <w:r>
          <w:rPr>
            <w:color w:val="0000FF"/>
          </w:rPr>
          <w:t>пункта 3</w:t>
        </w:r>
      </w:hyperlink>
      <w:r>
        <w:t xml:space="preserve"> (</w:t>
      </w:r>
      <w:hyperlink r:id="rId38" w:history="1">
        <w:r>
          <w:rPr>
            <w:color w:val="0000FF"/>
          </w:rPr>
          <w:t>6</w:t>
        </w:r>
      </w:hyperlink>
      <w:r>
        <w:t xml:space="preserve">,  </w:t>
      </w:r>
      <w:hyperlink r:id="rId39"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40" w:history="1">
        <w:r>
          <w:rPr>
            <w:color w:val="0000FF"/>
          </w:rPr>
          <w:t>пункта 7</w:t>
        </w:r>
      </w:hyperlink>
      <w:r>
        <w:t xml:space="preserve"> </w:t>
      </w:r>
      <w:hyperlink r:id="rId41"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2" w:history="1">
        <w:r>
          <w:rPr>
            <w:color w:val="0000FF"/>
          </w:rPr>
          <w:t>пункта 3</w:t>
        </w:r>
      </w:hyperlink>
      <w:r>
        <w:t xml:space="preserve"> (</w:t>
      </w:r>
      <w:hyperlink r:id="rId43" w:history="1">
        <w:r>
          <w:rPr>
            <w:color w:val="0000FF"/>
          </w:rPr>
          <w:t>6</w:t>
        </w:r>
      </w:hyperlink>
      <w:r>
        <w:t>,</w:t>
      </w:r>
      <w:hyperlink r:id="rId44"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5" w:history="1">
        <w:r>
          <w:rPr>
            <w:color w:val="0000FF"/>
          </w:rPr>
          <w:t>пункта  7</w:t>
        </w:r>
      </w:hyperlink>
      <w:r>
        <w:t xml:space="preserve">  </w:t>
      </w:r>
      <w:hyperlink r:id="rId46"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7" w:history="1">
        <w:r>
          <w:rPr>
            <w:color w:val="0000FF"/>
          </w:rPr>
          <w:t>статьей 242.4</w:t>
        </w:r>
      </w:hyperlink>
      <w:r>
        <w:t xml:space="preserve"> Бюджетного кодекса Российской Федерации, </w:t>
      </w:r>
      <w:hyperlink r:id="rId48"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9"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50"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муниципального района  Хайбуллинский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r w:rsidR="008F4770" w:rsidRPr="0066693F">
        <w:rPr>
          <w:rFonts w:ascii="Courier New" w:hAnsi="Courier New" w:cs="Courier New"/>
          <w:sz w:val="20"/>
        </w:rPr>
        <w:t xml:space="preserve">Хайбуллинский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ФУ Администрации МР Хайбуллинский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51"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ФУ Администрации МР Хайбуллинский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lastRenderedPageBreak/>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ФУ Администрации МР Хайбуллинский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Хайбуллинский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2"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C4956" w:rsidP="0056715D">
      <w:pPr>
        <w:pStyle w:val="ConsPlusNormal"/>
        <w:jc w:val="right"/>
      </w:pPr>
      <w:r>
        <w:t>Целинный</w:t>
      </w:r>
      <w:r w:rsidR="0056715D">
        <w:t xml:space="preserve"> сельсовет</w:t>
      </w:r>
      <w:r w:rsidR="002802F6">
        <w:t xml:space="preserve">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Хайбуллинский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Хайбуллинский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Хайбуллинский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4B7134" w:rsidP="0056715D">
      <w:pPr>
        <w:pStyle w:val="ConsPlusNormal"/>
        <w:jc w:val="right"/>
      </w:pPr>
      <w:r>
        <w:t>Целинный</w:t>
      </w:r>
      <w:r w:rsidR="0056715D">
        <w:t xml:space="preserve"> сельсовет</w:t>
      </w:r>
      <w:r w:rsidR="002802F6">
        <w:t xml:space="preserve">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r>
        <w:t xml:space="preserve">Хайбуллинский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Хайбуллинский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r>
              <w:t xml:space="preserve">Хайбуллинский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4B7134" w:rsidP="0056715D">
      <w:pPr>
        <w:pStyle w:val="ConsPlusNormal"/>
        <w:jc w:val="right"/>
      </w:pPr>
      <w:r>
        <w:t>Целинный</w:t>
      </w:r>
      <w:r w:rsidR="0074067C">
        <w:t xml:space="preserve"> </w:t>
      </w:r>
      <w:r w:rsidR="0056715D">
        <w:t xml:space="preserve">сельсовет </w:t>
      </w:r>
      <w:r w:rsidR="002802F6">
        <w:t xml:space="preserve">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r>
        <w:t>Хайбуллинский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EE4"/>
    <w:rsid w:val="00005C16"/>
    <w:rsid w:val="0000747B"/>
    <w:rsid w:val="0003129F"/>
    <w:rsid w:val="0003750C"/>
    <w:rsid w:val="000C6456"/>
    <w:rsid w:val="000F5C32"/>
    <w:rsid w:val="00185E8E"/>
    <w:rsid w:val="001F1077"/>
    <w:rsid w:val="002155D6"/>
    <w:rsid w:val="00225351"/>
    <w:rsid w:val="0023628A"/>
    <w:rsid w:val="00247B89"/>
    <w:rsid w:val="00275058"/>
    <w:rsid w:val="002802F6"/>
    <w:rsid w:val="002D0121"/>
    <w:rsid w:val="003123E8"/>
    <w:rsid w:val="003125B4"/>
    <w:rsid w:val="00313F8A"/>
    <w:rsid w:val="00324A89"/>
    <w:rsid w:val="00336BD8"/>
    <w:rsid w:val="003E7DEA"/>
    <w:rsid w:val="00411955"/>
    <w:rsid w:val="00422DE9"/>
    <w:rsid w:val="00435525"/>
    <w:rsid w:val="00476209"/>
    <w:rsid w:val="00481B2D"/>
    <w:rsid w:val="004A200B"/>
    <w:rsid w:val="004B7134"/>
    <w:rsid w:val="00512A66"/>
    <w:rsid w:val="00541888"/>
    <w:rsid w:val="0056715D"/>
    <w:rsid w:val="005730C4"/>
    <w:rsid w:val="005B2FA5"/>
    <w:rsid w:val="0064666D"/>
    <w:rsid w:val="00662455"/>
    <w:rsid w:val="0066451A"/>
    <w:rsid w:val="0066693F"/>
    <w:rsid w:val="006A486D"/>
    <w:rsid w:val="006C4956"/>
    <w:rsid w:val="0074067C"/>
    <w:rsid w:val="00757556"/>
    <w:rsid w:val="00773111"/>
    <w:rsid w:val="007D7F55"/>
    <w:rsid w:val="007E108E"/>
    <w:rsid w:val="0082305D"/>
    <w:rsid w:val="0084198F"/>
    <w:rsid w:val="00845C94"/>
    <w:rsid w:val="008F4770"/>
    <w:rsid w:val="00992AB4"/>
    <w:rsid w:val="00A20EE4"/>
    <w:rsid w:val="00A5754E"/>
    <w:rsid w:val="00A57E0B"/>
    <w:rsid w:val="00A83309"/>
    <w:rsid w:val="00AC1B2F"/>
    <w:rsid w:val="00AC7B22"/>
    <w:rsid w:val="00AD2254"/>
    <w:rsid w:val="00AD639C"/>
    <w:rsid w:val="00B576A0"/>
    <w:rsid w:val="00BA7439"/>
    <w:rsid w:val="00BE497A"/>
    <w:rsid w:val="00C139AB"/>
    <w:rsid w:val="00C41DDB"/>
    <w:rsid w:val="00C60A07"/>
    <w:rsid w:val="00C72CDF"/>
    <w:rsid w:val="00C74576"/>
    <w:rsid w:val="00CA72F7"/>
    <w:rsid w:val="00D140FD"/>
    <w:rsid w:val="00D14F85"/>
    <w:rsid w:val="00D44A44"/>
    <w:rsid w:val="00D54CDA"/>
    <w:rsid w:val="00D91A11"/>
    <w:rsid w:val="00DF7C0E"/>
    <w:rsid w:val="00E335B3"/>
    <w:rsid w:val="00E61EB9"/>
    <w:rsid w:val="00EC333E"/>
    <w:rsid w:val="00F12D6C"/>
    <w:rsid w:val="00F14DF5"/>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semiHidden/>
    <w:unhideWhenUsed/>
    <w:rsid w:val="00336BD8"/>
    <w:rPr>
      <w:color w:val="0000FF"/>
      <w:u w:val="single"/>
    </w:rPr>
  </w:style>
  <w:style w:type="paragraph" w:styleId="a4">
    <w:name w:val="Body Text"/>
    <w:basedOn w:val="a"/>
    <w:link w:val="a5"/>
    <w:semiHidden/>
    <w:unhideWhenUsed/>
    <w:rsid w:val="00336BD8"/>
    <w:pPr>
      <w:spacing w:after="0" w:line="240" w:lineRule="auto"/>
    </w:pPr>
    <w:rPr>
      <w:rFonts w:ascii="Times New Roman" w:eastAsia="Times New Roman" w:hAnsi="Times New Roman" w:cs="Times New Roman"/>
      <w:b/>
      <w:sz w:val="32"/>
      <w:szCs w:val="20"/>
    </w:rPr>
  </w:style>
  <w:style w:type="character" w:customStyle="1" w:styleId="a5">
    <w:name w:val="Основной текст Знак"/>
    <w:basedOn w:val="a0"/>
    <w:link w:val="a4"/>
    <w:semiHidden/>
    <w:rsid w:val="00336BD8"/>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336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BD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15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AM" TargetMode="External"/><Relationship Id="rId18" Type="http://schemas.openxmlformats.org/officeDocument/2006/relationships/hyperlink" Target="consultantplus://offline/ref=4173800DA804B0ECF032C7BB126FE3B525AB89DB01E238119ED393B4DEA78C535788BEC423A972B5N4I7M" TargetMode="External"/><Relationship Id="rId26" Type="http://schemas.openxmlformats.org/officeDocument/2006/relationships/hyperlink" Target="consultantplus://offline/ref=4173800DA804B0ECF032C7BB126FE3B525AB89DB01EA38119ED393B4DEA78C535788BEC423AA7BBFN4IAM" TargetMode="External"/><Relationship Id="rId39" Type="http://schemas.openxmlformats.org/officeDocument/2006/relationships/hyperlink" Target="consultantplus://offline/ref=4173800DA804B0ECF032C7BB126FE3B525AB89DB01E238119ED393B4DEA78C535788BEC621A9N7I9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238119ED393B4DEA78C535788BEC621A9N7IF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AN7IE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AM" TargetMode="External"/><Relationship Id="rId7" Type="http://schemas.openxmlformats.org/officeDocument/2006/relationships/hyperlink" Target="consultantplus://offline/ref=4173800DA804B0ECF032C7BB126FE3B525AB89DB01E238119ED393B4DEA78C535788BEC621AAN7IAM" TargetMode="External"/><Relationship Id="rId12" Type="http://schemas.openxmlformats.org/officeDocument/2006/relationships/hyperlink" Target="consultantplus://offline/ref=4173800DA804B0ECF032C7BB126FE3B525AB89DB01E238119ED393B4DEA78C535788BEC423A978BFN4ID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238119ED393B4DEA78C535788BEC621A9N7IBM" TargetMode="External"/><Relationship Id="rId46" Type="http://schemas.openxmlformats.org/officeDocument/2006/relationships/hyperlink" Target="consultantplus://offline/ref=4173800DA804B0ECF032C7BB126FE3B525AB89DB01EA38119ED393B4DEA78C535788BEC423AA78B6N4I6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8BFN4I9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A38119ED393B4DEA78C535788BEC423AA7BBEN4IAM" TargetMode="External"/><Relationship Id="rId41" Type="http://schemas.openxmlformats.org/officeDocument/2006/relationships/hyperlink" Target="consultantplus://offline/ref=4173800DA804B0ECF032C7BB126FE3B525AB89DB01EA38119ED393B4DEA78C535788BEC423AA78B6N4I6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linoe-ss@mail.ru" TargetMode="External"/><Relationship Id="rId11" Type="http://schemas.openxmlformats.org/officeDocument/2006/relationships/hyperlink" Target="consultantplus://offline/ref=4173800DA804B0ECF032C7BB126FE3B525AB89DB01E238119ED393B4DEA78C535788BEC621AAN7IAM" TargetMode="External"/><Relationship Id="rId24" Type="http://schemas.openxmlformats.org/officeDocument/2006/relationships/hyperlink" Target="consultantplus://offline/ref=4173800DA804B0ECF032C7BB126FE3B525AB89DB01EA38119ED393B4DEA78C535788BEC423AA7BBEN4I9M" TargetMode="External"/><Relationship Id="rId32" Type="http://schemas.openxmlformats.org/officeDocument/2006/relationships/hyperlink" Target="consultantplus://offline/ref=4173800DA804B0ECF032C7BB126FE3B525AB89DB01E238119ED393B4DEA78C535788BEC423A972B5N4I7M" TargetMode="External"/><Relationship Id="rId37" Type="http://schemas.openxmlformats.org/officeDocument/2006/relationships/hyperlink" Target="consultantplus://offline/ref=4173800DA804B0ECF032C7BB126FE3B525AB89DB01E238119ED393B4DEA78C535788BEC621AAN7IEM" TargetMode="External"/><Relationship Id="rId40" Type="http://schemas.openxmlformats.org/officeDocument/2006/relationships/hyperlink" Target="consultantplus://offline/ref=4173800DA804B0ECF032C7BB126FE3B525AB89DB01EA38119ED393B4DEA78C535788BEC423AA78B6N4IDM" TargetMode="External"/><Relationship Id="rId45" Type="http://schemas.openxmlformats.org/officeDocument/2006/relationships/hyperlink" Target="consultantplus://offline/ref=4173800DA804B0ECF032C7BB126FE3B525AB89DB01EA38119ED393B4DEA78C535788BEC423AA78B6N4IDM"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4173800DA804B0ECF032C7BB126FE3B525AB89DB01E238119ED393B4DEA78C535788BEC423A978BFN4I9M" TargetMode="External"/><Relationship Id="rId23" Type="http://schemas.openxmlformats.org/officeDocument/2006/relationships/hyperlink" Target="consultantplus://offline/ref=4173800DA804B0ECF032C7BB126FE3B525AB89DB01EA38119ED393B4DEA78C535788BEC423AA7BBEN4I9M" TargetMode="External"/><Relationship Id="rId28" Type="http://schemas.openxmlformats.org/officeDocument/2006/relationships/hyperlink" Target="consultantplus://offline/ref=4173800DA804B0ECF032C7BB126FE3B525AB89DB01EA38119ED393B4DEA78C535788BEC423AA7BBEN4I9M" TargetMode="External"/><Relationship Id="rId36" Type="http://schemas.openxmlformats.org/officeDocument/2006/relationships/hyperlink" Target="consultantplus://offline/ref=4173800DA804B0ECF032C7BB126FE3B525AB89DB01EA38119ED393B4DEA78C535788BEC423AA7BBEN4IAM" TargetMode="External"/><Relationship Id="rId49" Type="http://schemas.openxmlformats.org/officeDocument/2006/relationships/hyperlink" Target="consultantplus://offline/ref=4173800DA804B0ECF032C7BB126FE3B525AB89DB01E238119ED393B4DEA78C535788BEC621AAN7IAM" TargetMode="External"/><Relationship Id="rId10" Type="http://schemas.openxmlformats.org/officeDocument/2006/relationships/hyperlink" Target="consultantplus://offline/ref=4173800DA804B0ECF032C7BB126FE3B525AB89DB01E238119ED393B4DEA78C535788BEC423A978BFN4ICM" TargetMode="External"/><Relationship Id="rId19" Type="http://schemas.openxmlformats.org/officeDocument/2006/relationships/hyperlink" Target="consultantplus://offline/ref=4173800DA804B0ECF032C7BB126FE3B525AB89DB01E238119ED393B4DEA78C535788BEC423A972B2N4ICM" TargetMode="External"/><Relationship Id="rId31" Type="http://schemas.openxmlformats.org/officeDocument/2006/relationships/hyperlink" Target="consultantplus://offline/ref=4173800DA804B0ECF032C7BB126FE3B525AB89DB01E238119ED393B4DEA78C535788BEC423A978BFN4I9M" TargetMode="External"/><Relationship Id="rId44" Type="http://schemas.openxmlformats.org/officeDocument/2006/relationships/hyperlink" Target="consultantplus://offline/ref=4173800DA804B0ECF032C7BB126FE3B525AB89DB01E238119ED393B4DEA78C535788BEC621A9N7I9M" TargetMode="External"/><Relationship Id="rId52" Type="http://schemas.openxmlformats.org/officeDocument/2006/relationships/hyperlink" Target="consultantplus://offline/ref=4173800DA804B0ECF032C7BB126FE3B525AB89DB01EA38119ED393B4DEA78C535788BEC423AA7BBEN4I9M" TargetMode="External"/><Relationship Id="rId4" Type="http://schemas.openxmlformats.org/officeDocument/2006/relationships/hyperlink" Target="mailto:celinoe-ss@mail.ru" TargetMode="External"/><Relationship Id="rId9" Type="http://schemas.openxmlformats.org/officeDocument/2006/relationships/hyperlink" Target="consultantplus://offline/ref=4173800DA804B0ECF032C7BB126FE3B525AB89DB01EA38119ED393B4DEA78C535788BEC423AA7BB0N4IAM" TargetMode="External"/><Relationship Id="rId14" Type="http://schemas.openxmlformats.org/officeDocument/2006/relationships/hyperlink" Target="consultantplus://offline/ref=4173800DA804B0ECF032C7BB126FE3B525AB89DB01E238119ED393B4DEA78C535788BEC621AAN7IAM" TargetMode="External"/><Relationship Id="rId22" Type="http://schemas.openxmlformats.org/officeDocument/2006/relationships/hyperlink" Target="consultantplus://offline/ref=4173800DA804B0ECF032C7BB126FE3B525AB89DB01E238119ED393B4DEA78C535788BEC423A978BFN4IFM" TargetMode="External"/><Relationship Id="rId27" Type="http://schemas.openxmlformats.org/officeDocument/2006/relationships/hyperlink" Target="consultantplus://offline/ref=4173800DA804B0ECF032C7BB126FE3B525AB89DB01EA38119ED393B4DEA78C535788BEC423AA7BBFN4I9M" TargetMode="External"/><Relationship Id="rId30" Type="http://schemas.openxmlformats.org/officeDocument/2006/relationships/hyperlink" Target="consultantplus://offline/ref=4173800DA804B0ECF032C7BB126FE3B525AB89DB01EA38119ED393B4DEA78C535788BEC423AA7BBEN4IAM" TargetMode="External"/><Relationship Id="rId35" Type="http://schemas.openxmlformats.org/officeDocument/2006/relationships/hyperlink" Target="consultantplus://offline/ref=4173800DA804B0ECF032C7BB126FE3B525AB89DB01E238119ED393B4DEA78C535788BEC423A978BFN4IFM" TargetMode="External"/><Relationship Id="rId43" Type="http://schemas.openxmlformats.org/officeDocument/2006/relationships/hyperlink" Target="consultantplus://offline/ref=4173800DA804B0ECF032C7BB126FE3B525AB89DB01E238119ED393B4DEA78C535788BEC621A9N7IB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6AA8BDB0EED38119ED393B4DEA78C535788BEC423AB7AB3N4I7M" TargetMode="External"/><Relationship Id="rId51" Type="http://schemas.openxmlformats.org/officeDocument/2006/relationships/hyperlink" Target="consultantplus://offline/ref=4173800DA804B0ECF032C7BB126FE3B525AB8EDC00EF38119ED393B4DENA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43</Pages>
  <Words>13780</Words>
  <Characters>78551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111</cp:lastModifiedBy>
  <cp:revision>42</cp:revision>
  <cp:lastPrinted>2019-12-13T13:32:00Z</cp:lastPrinted>
  <dcterms:created xsi:type="dcterms:W3CDTF">2018-01-09T12:08:00Z</dcterms:created>
  <dcterms:modified xsi:type="dcterms:W3CDTF">2019-12-25T12:19:00Z</dcterms:modified>
</cp:coreProperties>
</file>