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98"/>
        <w:tblW w:w="25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2"/>
        <w:gridCol w:w="2053"/>
        <w:gridCol w:w="4424"/>
        <w:gridCol w:w="4424"/>
        <w:gridCol w:w="4605"/>
        <w:gridCol w:w="4239"/>
      </w:tblGrid>
      <w:tr w:rsidR="00DD7912" w:rsidRPr="002D574C" w:rsidTr="00A3521A"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</w:pPr>
            <w:r w:rsidRPr="002D574C">
              <w:t>Башҡортостан Республикаһының</w:t>
            </w:r>
          </w:p>
          <w:p w:rsidR="00DD7912" w:rsidRPr="002D574C" w:rsidRDefault="00DD7912" w:rsidP="00A3521A">
            <w:pPr>
              <w:pStyle w:val="1"/>
            </w:pPr>
            <w:r w:rsidRPr="002D574C">
              <w:t>Хәйбулла районы</w:t>
            </w:r>
          </w:p>
          <w:p w:rsidR="00DD7912" w:rsidRPr="002D574C" w:rsidRDefault="00DD7912" w:rsidP="00A3521A">
            <w:pPr>
              <w:pStyle w:val="1"/>
            </w:pPr>
            <w:r w:rsidRPr="002D574C">
              <w:t>муниципаль районының</w:t>
            </w:r>
          </w:p>
          <w:p w:rsidR="00DD7912" w:rsidRPr="002D574C" w:rsidRDefault="00DD7912" w:rsidP="00A3521A">
            <w:pPr>
              <w:pStyle w:val="1"/>
            </w:pPr>
            <w:r w:rsidRPr="002D574C">
              <w:t>Сизәм ауыл советы</w:t>
            </w:r>
          </w:p>
          <w:p w:rsidR="00DD7912" w:rsidRPr="002D574C" w:rsidRDefault="00DD7912" w:rsidP="00A3521A">
            <w:pPr>
              <w:pStyle w:val="1"/>
            </w:pPr>
            <w:r w:rsidRPr="002D574C">
              <w:t>ауыл биләмәһе хәкимиәте</w:t>
            </w: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  <w:rPr>
                <w:sz w:val="20"/>
                <w:lang w:val="sq-A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</w:pPr>
            <w:r w:rsidRPr="002D574C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</w:pPr>
            <w:r w:rsidRPr="002D574C">
              <w:rPr>
                <w:lang w:val="ru-RU"/>
              </w:rPr>
              <w:t>Совет</w:t>
            </w:r>
            <w:r w:rsidRPr="002D574C">
              <w:t xml:space="preserve"> сельского поселения</w:t>
            </w:r>
          </w:p>
          <w:p w:rsidR="00DD7912" w:rsidRPr="002D574C" w:rsidRDefault="00DD7912" w:rsidP="00A3521A">
            <w:pPr>
              <w:pStyle w:val="1"/>
            </w:pPr>
            <w:r w:rsidRPr="002D574C">
              <w:t>Целинный сельсовет</w:t>
            </w:r>
          </w:p>
          <w:p w:rsidR="00DD7912" w:rsidRPr="002D574C" w:rsidRDefault="00DD7912" w:rsidP="00A3521A">
            <w:pPr>
              <w:pStyle w:val="1"/>
            </w:pPr>
            <w:r w:rsidRPr="002D574C">
              <w:t>муниципального района</w:t>
            </w:r>
          </w:p>
          <w:p w:rsidR="00DD7912" w:rsidRPr="002D574C" w:rsidRDefault="00DD7912" w:rsidP="00A3521A">
            <w:pPr>
              <w:pStyle w:val="1"/>
            </w:pPr>
            <w:r w:rsidRPr="002D574C">
              <w:t>Хайбуллинский район</w:t>
            </w:r>
          </w:p>
          <w:p w:rsidR="00DD7912" w:rsidRPr="002D574C" w:rsidRDefault="00DD7912" w:rsidP="00A3521A">
            <w:pPr>
              <w:pStyle w:val="1"/>
            </w:pPr>
            <w:r w:rsidRPr="002D574C">
              <w:t>Республики Башкортостан</w:t>
            </w:r>
          </w:p>
          <w:p w:rsidR="00DD7912" w:rsidRPr="002D574C" w:rsidRDefault="00DD7912" w:rsidP="00A3521A">
            <w:pPr>
              <w:pStyle w:val="1"/>
              <w:rPr>
                <w:szCs w:val="22"/>
              </w:rPr>
            </w:pPr>
          </w:p>
          <w:p w:rsidR="00DD7912" w:rsidRPr="002D574C" w:rsidRDefault="00DD7912" w:rsidP="00A3521A">
            <w:pPr>
              <w:pStyle w:val="1"/>
              <w:rPr>
                <w:sz w:val="20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  <w:p w:rsidR="00DD7912" w:rsidRPr="002D574C" w:rsidRDefault="00DD7912" w:rsidP="00A3521A">
            <w:pPr>
              <w:pStyle w:val="1"/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caps/>
                <w:sz w:val="24"/>
              </w:rPr>
            </w:pPr>
          </w:p>
        </w:tc>
      </w:tr>
      <w:tr w:rsidR="00DD7912" w:rsidRPr="002D574C" w:rsidTr="00A3521A">
        <w:tc>
          <w:tcPr>
            <w:tcW w:w="56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lang w:val="sq-A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lang w:val="sq-A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lang w:val="sq-A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lang w:val="sq-A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12" w:rsidRPr="002D574C" w:rsidRDefault="00DD7912" w:rsidP="00A3521A">
            <w:pPr>
              <w:pStyle w:val="1"/>
              <w:rPr>
                <w:lang w:val="sq-AL"/>
              </w:rPr>
            </w:pPr>
          </w:p>
        </w:tc>
      </w:tr>
    </w:tbl>
    <w:p w:rsidR="00DD7912" w:rsidRDefault="00DD7912" w:rsidP="00DD7912">
      <w:pPr>
        <w:pStyle w:val="a4"/>
        <w:rPr>
          <w:lang w:val="en-US"/>
        </w:rPr>
      </w:pPr>
    </w:p>
    <w:p w:rsidR="00DD7912" w:rsidRDefault="00DD791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DD791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D7912">
        <w:rPr>
          <w:rFonts w:ascii="Times New Roman" w:hAnsi="Times New Roman" w:cs="Times New Roman"/>
          <w:sz w:val="28"/>
          <w:szCs w:val="28"/>
        </w:rPr>
        <w:t>Целинный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791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D7912">
        <w:rPr>
          <w:rFonts w:ascii="Times New Roman" w:hAnsi="Times New Roman" w:cs="Times New Roman"/>
          <w:sz w:val="28"/>
          <w:szCs w:val="28"/>
        </w:rPr>
        <w:t>Целинный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791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DD7912">
        <w:rPr>
          <w:rFonts w:ascii="Times New Roman" w:hAnsi="Times New Roman" w:cs="Times New Roman"/>
          <w:sz w:val="28"/>
          <w:szCs w:val="28"/>
        </w:rPr>
        <w:t xml:space="preserve">Целинный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791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D7912" w:rsidRDefault="00DD7912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DD7912" w:rsidRDefault="00DD7912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DD7912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Целинный сельсовет муниципального района Хайбуллинский район Республики Башкортостан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Целинный сельсовет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Хайбуллинский район  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Попова О.Ф. </w:t>
      </w:r>
    </w:p>
    <w:p w:rsidR="00DD7912" w:rsidRDefault="00DD7912" w:rsidP="00DD7912">
      <w:pPr>
        <w:ind w:firstLine="540"/>
        <w:jc w:val="both"/>
        <w:rPr>
          <w:sz w:val="28"/>
          <w:szCs w:val="28"/>
        </w:rPr>
      </w:pP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</w:rPr>
      </w:pPr>
      <w:r w:rsidRPr="00DD7912">
        <w:rPr>
          <w:rFonts w:ascii="Times New Roman" w:hAnsi="Times New Roman" w:cs="Times New Roman"/>
        </w:rPr>
        <w:t>с.Целинное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</w:t>
      </w:r>
      <w:r w:rsidRPr="00DD7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DD7912">
        <w:rPr>
          <w:rFonts w:ascii="Times New Roman" w:hAnsi="Times New Roman" w:cs="Times New Roman"/>
        </w:rPr>
        <w:t xml:space="preserve"> 2018 года</w:t>
      </w:r>
    </w:p>
    <w:p w:rsidR="00DD7912" w:rsidRPr="00DD7912" w:rsidRDefault="00DD7912" w:rsidP="00DD79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Р-__/__</w:t>
      </w:r>
      <w:bookmarkStart w:id="0" w:name="_GoBack"/>
      <w:bookmarkEnd w:id="0"/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2D" w:rsidRDefault="00CC6B2D" w:rsidP="00B8536C">
      <w:pPr>
        <w:spacing w:after="0" w:line="240" w:lineRule="auto"/>
      </w:pPr>
      <w:r>
        <w:separator/>
      </w:r>
    </w:p>
  </w:endnote>
  <w:endnote w:type="continuationSeparator" w:id="0">
    <w:p w:rsidR="00CC6B2D" w:rsidRDefault="00CC6B2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2D" w:rsidRDefault="00CC6B2D" w:rsidP="00B8536C">
      <w:pPr>
        <w:spacing w:after="0" w:line="240" w:lineRule="auto"/>
      </w:pPr>
      <w:r>
        <w:separator/>
      </w:r>
    </w:p>
  </w:footnote>
  <w:footnote w:type="continuationSeparator" w:id="0">
    <w:p w:rsidR="00CC6B2D" w:rsidRDefault="00CC6B2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D7912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C6B2D"/>
    <w:rsid w:val="00CD6370"/>
    <w:rsid w:val="00CF1829"/>
    <w:rsid w:val="00D21C05"/>
    <w:rsid w:val="00D45351"/>
    <w:rsid w:val="00D602DB"/>
    <w:rsid w:val="00D92B3C"/>
    <w:rsid w:val="00DA359A"/>
    <w:rsid w:val="00DB2982"/>
    <w:rsid w:val="00DD791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8AD9-5266-49B8-BE0B-BFE28E5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912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DD7912"/>
    <w:rPr>
      <w:rFonts w:ascii="Times New Roman Bash" w:eastAsia="Times New Roman" w:hAnsi="Times New Roman Bash" w:cs="Times New Roman"/>
      <w:b/>
      <w:szCs w:val="24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ECAC-F68D-4CF4-B1F1-EAC0A123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selsovet</cp:lastModifiedBy>
  <cp:revision>4</cp:revision>
  <cp:lastPrinted>2018-08-16T07:00:00Z</cp:lastPrinted>
  <dcterms:created xsi:type="dcterms:W3CDTF">2018-08-16T07:00:00Z</dcterms:created>
  <dcterms:modified xsi:type="dcterms:W3CDTF">2018-08-31T05:59:00Z</dcterms:modified>
</cp:coreProperties>
</file>